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ascii="仿宋_GB2312" w:eastAsia="仿宋_GB2312"/>
          <w:sz w:val="32"/>
          <w:szCs w:val="32"/>
        </w:rPr>
      </w:pPr>
      <w:r>
        <w:rPr>
          <w:rFonts w:hint="eastAsia"/>
        </w:rPr>
        <w:t xml:space="preserve">                         </w:t>
      </w:r>
    </w:p>
    <w:p>
      <w:pPr>
        <w:pStyle w:val="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中共北京市纪律检查委员会</w:t>
      </w:r>
    </w:p>
    <w:p>
      <w:pPr>
        <w:pStyle w:val="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2021年度</w:t>
      </w:r>
      <w:r>
        <w:rPr>
          <w:rFonts w:hint="eastAsia" w:ascii="方正小标宋简体" w:hAnsi="方正小标宋简体" w:eastAsia="方正小标宋简体" w:cs="方正小标宋简体"/>
          <w:b w:val="0"/>
          <w:bCs w:val="0"/>
          <w:sz w:val="44"/>
          <w:szCs w:val="44"/>
        </w:rPr>
        <w:t>“纪检监察电视栏目制作”项目</w:t>
      </w:r>
    </w:p>
    <w:p>
      <w:pPr>
        <w:pStyle w:val="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绩效</w:t>
      </w:r>
      <w:r>
        <w:rPr>
          <w:rFonts w:hint="eastAsia" w:ascii="方正小标宋简体" w:hAnsi="方正小标宋简体" w:eastAsia="方正小标宋简体" w:cs="方正小标宋简体"/>
          <w:b w:val="0"/>
          <w:bCs w:val="0"/>
          <w:sz w:val="44"/>
          <w:szCs w:val="44"/>
          <w:lang w:eastAsia="zh-CN"/>
        </w:rPr>
        <w:t>评价</w:t>
      </w:r>
      <w:r>
        <w:rPr>
          <w:rFonts w:hint="eastAsia" w:ascii="方正小标宋简体" w:hAnsi="方正小标宋简体" w:eastAsia="方正小标宋简体" w:cs="方正小标宋简体"/>
          <w:b w:val="0"/>
          <w:bCs w:val="0"/>
          <w:sz w:val="44"/>
          <w:szCs w:val="44"/>
        </w:rPr>
        <w:t>报告</w:t>
      </w:r>
    </w:p>
    <w:p>
      <w:pPr>
        <w:pStyle w:val="2"/>
        <w:jc w:val="both"/>
        <w:rPr>
          <w:rFonts w:ascii="仿宋" w:hAnsi="仿宋" w:eastAsia="仿宋" w:cs="仿宋_GB2312"/>
          <w:bCs w:val="0"/>
          <w:kern w:val="2"/>
          <w:sz w:val="32"/>
          <w:szCs w:val="32"/>
        </w:rPr>
      </w:pPr>
    </w:p>
    <w:p>
      <w:pPr>
        <w:pStyle w:val="2"/>
        <w:spacing w:line="360" w:lineRule="auto"/>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为提高财政资金使用效益，合理配置公共财政资源，根据《中华人民共和国预算法》、《北京市预算绩效管理办法》（京财绩效〔2019〕2129号）、《北京市项目支出绩效评价管理办法》（京财预〔2020〕2146号）、《北京市财政局关于开展2022年全面预算绩效管理工作的通知》（京财绩效〔2022〕669号）等相关文件要求，中国共产党北京市纪律检查委员会（以下简称北京市纪委）成立了绩效评价工作组，于2022年6月对2021年度“</w:t>
      </w:r>
      <w:r>
        <w:rPr>
          <w:rFonts w:hint="eastAsia" w:ascii="仿宋_GB2312" w:eastAsia="仿宋_GB2312"/>
          <w:sz w:val="32"/>
          <w:szCs w:val="32"/>
        </w:rPr>
        <w:t>纪检监察电视栏目制作</w:t>
      </w:r>
      <w:r>
        <w:rPr>
          <w:rFonts w:hint="eastAsia" w:ascii="仿宋_GB2312" w:hAnsi="仿宋" w:eastAsia="仿宋_GB2312" w:cs="仿宋_GB2312"/>
          <w:sz w:val="32"/>
          <w:szCs w:val="32"/>
        </w:rPr>
        <w:t>”项目开展了绩效评价，该项目评价结果为90.2分，有关情况如下。</w:t>
      </w:r>
    </w:p>
    <w:p>
      <w:pPr>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一、基本情况</w:t>
      </w:r>
    </w:p>
    <w:p>
      <w:pPr>
        <w:spacing w:line="360" w:lineRule="auto"/>
        <w:ind w:firstLine="642"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（一）项目概况</w:t>
      </w:r>
    </w:p>
    <w:p>
      <w:pPr>
        <w:spacing w:line="360" w:lineRule="auto"/>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1.项目背景</w:t>
      </w:r>
    </w:p>
    <w:p>
      <w:pPr>
        <w:adjustRightInd w:val="0"/>
        <w:snapToGrid w:val="0"/>
        <w:spacing w:line="360" w:lineRule="auto"/>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为加强反腐倡廉宣传工作，2013年，经北京市纪委、北京市委宣传部、北京市财政局、北京广播电视台、北京电视台协商，对北京电视台原党建频道播出的《廉政北京》栏目进行转型。基于安全和保密工作要求，指定北京广播电视台组建团队拍摄制作。2014年9月，新栏目《镜鉴》在北京电视台播出。2017年，北京广播电视台机构调整，原承制下属单位新新传媒有限责任公司划归至歌华传媒集团，现名为北京歌华新新传媒有限责任公司。2018年1月，为适应国家监察体制改革需要，</w:t>
      </w:r>
      <w:r>
        <w:rPr>
          <w:rFonts w:hint="eastAsia" w:eastAsia="仿宋"/>
          <w:bCs/>
          <w:kern w:val="0"/>
          <w:sz w:val="30"/>
          <w:szCs w:val="30"/>
        </w:rPr>
        <w:t>强化纪律教育和廉政教育，营造风清气正的舆论范围，</w:t>
      </w:r>
      <w:r>
        <w:rPr>
          <w:rFonts w:hint="eastAsia" w:ascii="仿宋_GB2312" w:hAnsi="仿宋" w:eastAsia="仿宋_GB2312"/>
          <w:kern w:val="0"/>
          <w:sz w:val="32"/>
          <w:szCs w:val="32"/>
        </w:rPr>
        <w:t>经北京市纪委领导批准，《镜鉴》栏目改版更名为《清风北京》。2020年起，为支持《清风北京》节目的拍摄与制作，市纪委宣传部申请“纪检监察电视栏目制作”项目经费，随同部门预算编报，经北京市财政局批复后项目正式立项。</w:t>
      </w:r>
    </w:p>
    <w:p>
      <w:pPr>
        <w:spacing w:line="360" w:lineRule="auto"/>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实施该项目的目的就是</w:t>
      </w:r>
      <w:r>
        <w:rPr>
          <w:rFonts w:hint="eastAsia" w:ascii="仿宋_GB2312" w:hAnsi="仿宋" w:eastAsia="仿宋_GB2312"/>
          <w:sz w:val="32"/>
          <w:szCs w:val="32"/>
        </w:rPr>
        <w:t>通过制作《清风北京》电视栏目，聚焦纪检监察工作主责主业，宣传北京纪检监察工作成果，深入挖掘中国古代廉政文化内涵，大力弘扬我们党的优良传统，传承红色基因，使之成为新形势下加强纪检监察工作的重要资源，营造风清气正的社会环境。</w:t>
      </w:r>
    </w:p>
    <w:p>
      <w:pPr>
        <w:spacing w:line="360" w:lineRule="auto"/>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2.项目主要内容</w:t>
      </w:r>
    </w:p>
    <w:p>
      <w:pPr>
        <w:adjustRightInd w:val="0"/>
        <w:snapToGrid w:val="0"/>
        <w:spacing w:line="360" w:lineRule="auto"/>
        <w:ind w:firstLine="640" w:firstLineChars="200"/>
        <w:rPr>
          <w:rFonts w:ascii="仿宋_GB2312" w:hAnsi="仿宋" w:eastAsia="仿宋_GB2312"/>
          <w:kern w:val="0"/>
          <w:sz w:val="32"/>
          <w:szCs w:val="32"/>
        </w:rPr>
      </w:pPr>
      <w:r>
        <w:rPr>
          <w:rFonts w:hint="eastAsia" w:ascii="仿宋_GB2312" w:hAnsi="宋体" w:eastAsia="仿宋_GB2312"/>
          <w:bCs/>
          <w:color w:val="000000"/>
          <w:kern w:val="0"/>
          <w:sz w:val="32"/>
          <w:szCs w:val="32"/>
        </w:rPr>
        <w:t>项目主要以生产《清风北京》电视播出节目为主，是北京市开展国家监察体制改革试点工作以来，首都地区第一档围绕纪检监察中心工作制作的电视栏目，它体现了北京市全面从严治党的决心和意志，真实记录国家监察体制改革工作在北京地区的实践进程，不断总结北京市先行先试的经验方法，深刻剖析一系列违纪违法案件，做到警钟长鸣，震慑常在，是首都纪检监察领域的“焦点访谈”。</w:t>
      </w:r>
      <w:r>
        <w:rPr>
          <w:rFonts w:hint="eastAsia" w:ascii="仿宋_GB2312" w:hAnsi="仿宋" w:eastAsia="仿宋_GB2312"/>
          <w:bCs/>
          <w:kern w:val="0"/>
          <w:sz w:val="32"/>
          <w:szCs w:val="32"/>
        </w:rPr>
        <w:t>同时，挖掘历史文献、红色遗迹、革命人物、文化场馆、家风家训中的勤廉故事，宣传北京廉洁文化建设。</w:t>
      </w:r>
    </w:p>
    <w:p>
      <w:pPr>
        <w:pStyle w:val="17"/>
        <w:shd w:val="clear" w:color="auto" w:fill="FFFFFF"/>
        <w:spacing w:before="0" w:beforeAutospacing="0" w:after="0" w:afterAutospacing="0" w:line="360" w:lineRule="auto"/>
        <w:ind w:firstLine="480" w:firstLineChars="150"/>
        <w:jc w:val="both"/>
        <w:rPr>
          <w:rFonts w:ascii="仿宋_GB2312" w:eastAsia="仿宋_GB2312" w:cs="Times New Roman"/>
          <w:bCs/>
          <w:color w:val="000000"/>
          <w:sz w:val="32"/>
          <w:szCs w:val="32"/>
        </w:rPr>
      </w:pPr>
      <w:r>
        <w:rPr>
          <w:rFonts w:hint="eastAsia" w:ascii="仿宋_GB2312" w:eastAsia="仿宋_GB2312"/>
          <w:bCs/>
          <w:color w:val="000000"/>
          <w:sz w:val="32"/>
          <w:szCs w:val="32"/>
        </w:rPr>
        <w:t>项目每年生产52期节目，</w:t>
      </w:r>
      <w:r>
        <w:rPr>
          <w:rFonts w:hint="eastAsia" w:ascii="仿宋_GB2312" w:eastAsia="仿宋_GB2312" w:cs="Times New Roman"/>
          <w:bCs/>
          <w:color w:val="000000"/>
          <w:sz w:val="32"/>
          <w:szCs w:val="32"/>
        </w:rPr>
        <w:t>节目内容分为两个板块：纪实专题版块、清风故事版块。</w:t>
      </w:r>
      <w:r>
        <w:rPr>
          <w:rFonts w:hint="eastAsia" w:ascii="仿宋_GB2312" w:eastAsia="仿宋_GB2312"/>
          <w:bCs/>
          <w:color w:val="000000"/>
          <w:sz w:val="32"/>
          <w:szCs w:val="32"/>
        </w:rPr>
        <w:t>每期时长20分钟，</w:t>
      </w:r>
      <w:r>
        <w:rPr>
          <w:rFonts w:hint="eastAsia" w:ascii="仿宋_GB2312" w:eastAsia="仿宋_GB2312" w:cs="Times New Roman"/>
          <w:bCs/>
          <w:color w:val="000000"/>
          <w:sz w:val="32"/>
          <w:szCs w:val="32"/>
        </w:rPr>
        <w:t>于每周五13:45 BTV新闻频道首播，每周日22:36 BTV科教频道重播。</w:t>
      </w:r>
    </w:p>
    <w:p>
      <w:pPr>
        <w:adjustRightInd w:val="0"/>
        <w:spacing w:line="360" w:lineRule="auto"/>
        <w:ind w:firstLine="560"/>
        <w:rPr>
          <w:rFonts w:ascii="仿宋_GB2312" w:eastAsia="仿宋_GB2312" w:hAnsiTheme="minorEastAsia"/>
          <w:sz w:val="32"/>
          <w:szCs w:val="32"/>
        </w:rPr>
      </w:pPr>
      <w:r>
        <w:rPr>
          <w:rFonts w:hint="eastAsia" w:ascii="仿宋_GB2312" w:eastAsia="仿宋_GB2312" w:hAnsiTheme="minorEastAsia"/>
          <w:sz w:val="32"/>
          <w:szCs w:val="32"/>
        </w:rPr>
        <w:t>3.项目组织实施情况</w:t>
      </w:r>
    </w:p>
    <w:p>
      <w:pPr>
        <w:adjustRightInd w:val="0"/>
        <w:snapToGrid w:val="0"/>
        <w:spacing w:line="360" w:lineRule="auto"/>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项目实施主体为北京市纪委本级行政，具体由市纪委宣传部负责项目的组织实施工作。</w:t>
      </w:r>
    </w:p>
    <w:p>
      <w:pPr>
        <w:pStyle w:val="30"/>
        <w:adjustRightInd w:val="0"/>
        <w:snapToGrid w:val="0"/>
        <w:spacing w:line="360" w:lineRule="auto"/>
        <w:ind w:firstLine="640"/>
        <w:rPr>
          <w:rFonts w:ascii="仿宋_GB2312" w:hAnsi="仿宋" w:eastAsia="仿宋_GB2312"/>
          <w:kern w:val="0"/>
          <w:sz w:val="32"/>
          <w:szCs w:val="32"/>
        </w:rPr>
      </w:pPr>
      <w:r>
        <w:rPr>
          <w:rFonts w:hint="eastAsia" w:ascii="仿宋_GB2312" w:hAnsi="仿宋" w:eastAsia="仿宋_GB2312"/>
          <w:kern w:val="0"/>
          <w:sz w:val="32"/>
          <w:szCs w:val="32"/>
        </w:rPr>
        <w:t>市纪委监委宣传部每年与第三方机构签订“《清风北京》电视栏目制作合同”，明确合作事项，提出制作具体要求，规定费用金额、支出方式、甲乙双方的权利义务以及违约责任等方面条款。</w:t>
      </w:r>
    </w:p>
    <w:p>
      <w:pPr>
        <w:adjustRightInd w:val="0"/>
        <w:snapToGrid w:val="0"/>
        <w:spacing w:line="360" w:lineRule="auto"/>
        <w:ind w:firstLine="640" w:firstLineChars="200"/>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 xml:space="preserve">在年度项目实施过程中，市纪委制定了较为严谨的工作规程。项目由第三方机构专人经办、初审，再由市纪委监委宣传部集中审核把关，相关领导签字确认，最后上传至项目播出平台，经由播出平台复审后每周固定频道、时间段播出。为使工作扎实推进，市纪委建立了“《清风北京》电视栏目审看制度”和“《清风北京》制播制度”，从选题申报、采编、审核到播出，每一个环节都由责任人签字负责，责任到人，保证节目安全播出。具体管理流程如下： </w:t>
      </w:r>
    </w:p>
    <w:p>
      <w:pPr>
        <w:adjustRightInd w:val="0"/>
        <w:snapToGrid w:val="0"/>
        <w:spacing w:line="360" w:lineRule="auto"/>
        <w:ind w:firstLine="640" w:firstLineChars="200"/>
        <w:jc w:val="left"/>
        <w:rPr>
          <w:rFonts w:ascii="仿宋_GB2312" w:hAnsi="仿宋" w:eastAsia="仿宋_GB2312"/>
          <w:color w:val="000000"/>
          <w:kern w:val="0"/>
          <w:sz w:val="32"/>
          <w:szCs w:val="32"/>
        </w:rPr>
      </w:pPr>
      <w:r>
        <w:rPr>
          <w:rFonts w:hint="eastAsia" w:ascii="仿宋_GB2312" w:hAnsi="仿宋" w:eastAsia="仿宋_GB2312"/>
          <w:bCs/>
          <w:color w:val="000000"/>
          <w:kern w:val="0"/>
          <w:sz w:val="32"/>
          <w:szCs w:val="32"/>
        </w:rPr>
        <w:t>（1）选题报送方面。</w:t>
      </w:r>
      <w:r>
        <w:rPr>
          <w:rFonts w:hint="eastAsia" w:ascii="仿宋_GB2312" w:hAnsi="仿宋" w:eastAsia="仿宋_GB2312"/>
          <w:color w:val="000000"/>
          <w:kern w:val="0"/>
          <w:sz w:val="32"/>
          <w:szCs w:val="32"/>
        </w:rPr>
        <w:t>规范报送流程，统一报送格式表格，明确了报送选题必须为正向、积极、能体现纪检监察业务工作，具备清廉、红色元素的内容。选题由第三方机构报送，市纪委宣传部梳理筛查后，呈报上级主管领导签批，而后反馈至第三方机构进行制作。</w:t>
      </w:r>
    </w:p>
    <w:p>
      <w:pPr>
        <w:adjustRightInd w:val="0"/>
        <w:snapToGrid w:val="0"/>
        <w:spacing w:line="360" w:lineRule="auto"/>
        <w:ind w:firstLine="640" w:firstLineChars="200"/>
        <w:jc w:val="left"/>
        <w:rPr>
          <w:rFonts w:ascii="仿宋_GB2312" w:hAnsi="仿宋" w:eastAsia="仿宋_GB2312"/>
          <w:color w:val="000000"/>
          <w:kern w:val="0"/>
          <w:sz w:val="32"/>
          <w:szCs w:val="32"/>
        </w:rPr>
      </w:pPr>
      <w:r>
        <w:rPr>
          <w:rFonts w:hint="eastAsia" w:ascii="仿宋_GB2312" w:hAnsi="仿宋" w:eastAsia="仿宋_GB2312"/>
          <w:bCs/>
          <w:color w:val="000000"/>
          <w:kern w:val="0"/>
          <w:sz w:val="32"/>
          <w:szCs w:val="32"/>
        </w:rPr>
        <w:t>（2）节目摄制方面。</w:t>
      </w:r>
      <w:r>
        <w:rPr>
          <w:rFonts w:hint="eastAsia" w:ascii="仿宋_GB2312" w:hAnsi="仿宋" w:eastAsia="仿宋_GB2312"/>
          <w:color w:val="000000"/>
          <w:kern w:val="0"/>
          <w:sz w:val="32"/>
          <w:szCs w:val="32"/>
        </w:rPr>
        <w:t>由市纪委宣传部组织协调，第三方联系制作，开展采访、撰稿、剪辑工作，编导、摄像、责编、配音、主持人等工作人员全部为具有多年广播电视从业经验的行家里手，全部签订节目保密协议，确保节目内容播出前不泄密、不外传。同时，建立媒资管理系统，存储了开播以来四年的全部节目素材。</w:t>
      </w:r>
    </w:p>
    <w:p>
      <w:pPr>
        <w:adjustRightInd w:val="0"/>
        <w:snapToGrid w:val="0"/>
        <w:spacing w:line="360" w:lineRule="auto"/>
        <w:ind w:firstLine="640" w:firstLineChars="200"/>
        <w:jc w:val="left"/>
        <w:rPr>
          <w:rFonts w:ascii="仿宋_GB2312" w:hAnsi="仿宋" w:eastAsia="仿宋_GB2312"/>
          <w:color w:val="000000"/>
          <w:kern w:val="0"/>
          <w:sz w:val="32"/>
          <w:szCs w:val="32"/>
        </w:rPr>
      </w:pPr>
      <w:r>
        <w:rPr>
          <w:rFonts w:hint="eastAsia" w:ascii="仿宋_GB2312" w:hAnsi="仿宋" w:eastAsia="仿宋_GB2312"/>
          <w:bCs/>
          <w:color w:val="000000"/>
          <w:kern w:val="0"/>
          <w:sz w:val="32"/>
          <w:szCs w:val="32"/>
        </w:rPr>
        <w:t>（3）节目审核方面。</w:t>
      </w:r>
      <w:r>
        <w:rPr>
          <w:rFonts w:hint="eastAsia" w:ascii="仿宋_GB2312" w:hAnsi="仿宋" w:eastAsia="仿宋_GB2312"/>
          <w:color w:val="000000"/>
          <w:kern w:val="0"/>
          <w:sz w:val="32"/>
          <w:szCs w:val="32"/>
        </w:rPr>
        <w:t>节目稿件和节目成片的审核是确保项目高质量完成的保证。为此设立了三级审看制度和节目奖惩制度，即稿件完成后经过节目组自查、被采访单位复审、市纪委监委宣传部终审和主管领导签批的系统流程。稿件确定后进入剪辑环节，成片同样经过节目组自查、被采访单位复审、市纪委监委宣传部终审的系统流程。成片审核环节又设立节目评级制度，即设立A、B、C三档，每级由评分分值区间确定级别。并针对片中的出现的错别字、夹帧等质量问题予以处罚。此外，为确保节目质量，还引入广播电视行业资深专家顾问参与审核评分，从电视播出专业角度增加一道安全播出的“防火墙”。</w:t>
      </w:r>
    </w:p>
    <w:p>
      <w:pPr>
        <w:adjustRightInd w:val="0"/>
        <w:snapToGrid w:val="0"/>
        <w:spacing w:line="360" w:lineRule="auto"/>
        <w:ind w:firstLine="640" w:firstLineChars="200"/>
        <w:jc w:val="left"/>
        <w:rPr>
          <w:rFonts w:ascii="仿宋_GB2312" w:hAnsi="仿宋" w:eastAsia="仿宋_GB2312"/>
          <w:color w:val="000000"/>
          <w:kern w:val="0"/>
          <w:sz w:val="32"/>
          <w:szCs w:val="32"/>
        </w:rPr>
      </w:pPr>
      <w:r>
        <w:rPr>
          <w:rFonts w:hint="eastAsia" w:ascii="仿宋_GB2312" w:hAnsi="仿宋" w:eastAsia="仿宋_GB2312"/>
          <w:bCs/>
          <w:color w:val="000000"/>
          <w:kern w:val="0"/>
          <w:sz w:val="32"/>
          <w:szCs w:val="32"/>
        </w:rPr>
        <w:t>（4）节目播出方面。</w:t>
      </w:r>
      <w:r>
        <w:rPr>
          <w:rFonts w:hint="eastAsia" w:ascii="仿宋_GB2312" w:hAnsi="仿宋" w:eastAsia="仿宋_GB2312"/>
          <w:color w:val="000000"/>
          <w:kern w:val="0"/>
          <w:sz w:val="32"/>
          <w:szCs w:val="32"/>
        </w:rPr>
        <w:t>节目审核无误后，批复第三方机构送播，经由播出平台入库待播。此环节还要经过播出平台，也就是北京电视台方面的多次技术审核和节目审查环节，层层把关。为了应对可能发生的一些不确定事故，还设置了备播制度和人员备案机制，在播出平台长期动态存放备播节目，防止播出事故发生，同时配备工作人员轮岗制度，确保有三人可完成送播任务。</w:t>
      </w:r>
    </w:p>
    <w:p>
      <w:pPr>
        <w:adjustRightInd w:val="0"/>
        <w:snapToGrid w:val="0"/>
        <w:spacing w:line="360" w:lineRule="auto"/>
        <w:ind w:firstLine="640" w:firstLineChars="200"/>
        <w:jc w:val="left"/>
        <w:rPr>
          <w:rFonts w:ascii="仿宋_GB2312" w:hAnsi="仿宋" w:eastAsia="仿宋_GB2312"/>
          <w:color w:val="000000"/>
          <w:kern w:val="0"/>
          <w:sz w:val="32"/>
          <w:szCs w:val="32"/>
        </w:rPr>
      </w:pPr>
      <w:r>
        <w:rPr>
          <w:rFonts w:hint="eastAsia" w:ascii="仿宋_GB2312" w:hAnsi="仿宋" w:eastAsia="仿宋_GB2312"/>
          <w:bCs/>
          <w:color w:val="000000"/>
          <w:kern w:val="0"/>
          <w:sz w:val="32"/>
          <w:szCs w:val="32"/>
        </w:rPr>
        <w:t>（5）收集意见反馈方面。</w:t>
      </w:r>
      <w:r>
        <w:rPr>
          <w:rFonts w:hint="eastAsia" w:ascii="仿宋_GB2312" w:hAnsi="仿宋" w:eastAsia="仿宋_GB2312"/>
          <w:color w:val="000000"/>
          <w:kern w:val="0"/>
          <w:sz w:val="32"/>
          <w:szCs w:val="32"/>
        </w:rPr>
        <w:t>自我批评和接受批评是增进节目可持续性的有效途径。为此，项目单位在项目实施过程中积极收集各方反馈意见，从目前掌握的信息看，项目产生的效果是正向、积极的，既得到了全市各级纪检监察组织的高度认可，也得到了广播电视行业的专业认可，成为宣传北京市纪检监察工作成果，传播廉洁文化，营造清廉社会氛围的一个有益平台。</w:t>
      </w:r>
    </w:p>
    <w:p>
      <w:pPr>
        <w:adjustRightInd w:val="0"/>
        <w:spacing w:line="360" w:lineRule="auto"/>
        <w:ind w:firstLine="560"/>
        <w:rPr>
          <w:rFonts w:ascii="仿宋_GB2312" w:eastAsia="仿宋_GB2312" w:hAnsiTheme="minorEastAsia"/>
          <w:sz w:val="32"/>
          <w:szCs w:val="32"/>
        </w:rPr>
      </w:pPr>
      <w:r>
        <w:rPr>
          <w:rFonts w:hint="eastAsia" w:ascii="仿宋_GB2312" w:eastAsia="仿宋_GB2312" w:hAnsiTheme="minorEastAsia"/>
          <w:sz w:val="32"/>
          <w:szCs w:val="32"/>
        </w:rPr>
        <w:t>4.项目资金情况</w:t>
      </w:r>
    </w:p>
    <w:p>
      <w:pPr>
        <w:adjustRightInd w:val="0"/>
        <w:snapToGrid w:val="0"/>
        <w:spacing w:line="360" w:lineRule="auto"/>
        <w:ind w:firstLine="640" w:firstLineChars="200"/>
        <w:rPr>
          <w:rFonts w:ascii="仿宋_GB2312" w:hAnsi="仿宋" w:eastAsia="仿宋_GB2312"/>
          <w:b/>
          <w:color w:val="000000" w:themeColor="text1"/>
          <w:kern w:val="0"/>
          <w:sz w:val="32"/>
          <w:szCs w:val="32"/>
        </w:rPr>
      </w:pPr>
      <w:r>
        <w:rPr>
          <w:rFonts w:hint="eastAsia" w:ascii="仿宋_GB2312" w:hAnsi="仿宋" w:eastAsia="仿宋_GB2312"/>
          <w:bCs/>
          <w:color w:val="000000" w:themeColor="text1"/>
          <w:kern w:val="0"/>
          <w:sz w:val="32"/>
          <w:szCs w:val="32"/>
        </w:rPr>
        <w:t>项目申请预算资金493万元，预算批复493万元。项目实际支出493.96万元，超出的0.96万元由其他宣传工作经费支付。</w:t>
      </w:r>
    </w:p>
    <w:p>
      <w:pPr>
        <w:adjustRightInd w:val="0"/>
        <w:spacing w:line="360" w:lineRule="auto"/>
        <w:ind w:firstLine="560"/>
        <w:rPr>
          <w:rFonts w:ascii="仿宋_GB2312" w:hAnsi="仿宋" w:eastAsia="仿宋_GB2312"/>
          <w:bCs/>
          <w:color w:val="000000" w:themeColor="text1"/>
          <w:sz w:val="32"/>
          <w:szCs w:val="32"/>
        </w:rPr>
      </w:pPr>
      <w:r>
        <w:rPr>
          <w:rFonts w:hint="eastAsia" w:ascii="仿宋_GB2312" w:hAnsi="仿宋" w:eastAsia="仿宋_GB2312"/>
          <w:bCs/>
          <w:kern w:val="0"/>
          <w:sz w:val="32"/>
          <w:szCs w:val="32"/>
        </w:rPr>
        <w:t>市纪委按照财务管理制度规定，设置项目资金专户，按规定使用项目资金，专款专用，不存在挤占挪用等违法违规行为。</w:t>
      </w:r>
      <w:r>
        <w:rPr>
          <w:rFonts w:hint="eastAsia" w:ascii="仿宋_GB2312" w:hAnsi="仿宋" w:eastAsia="仿宋_GB2312"/>
          <w:bCs/>
          <w:color w:val="000000" w:themeColor="text1"/>
          <w:sz w:val="32"/>
          <w:szCs w:val="32"/>
        </w:rPr>
        <w:t>项目资金分两次支付给</w:t>
      </w:r>
      <w:r>
        <w:rPr>
          <w:rFonts w:hint="eastAsia" w:ascii="仿宋_GB2312" w:hAnsi="仿宋" w:eastAsia="仿宋_GB2312"/>
          <w:bCs/>
          <w:kern w:val="0"/>
          <w:sz w:val="32"/>
          <w:szCs w:val="32"/>
        </w:rPr>
        <w:t>第三方专业机构</w:t>
      </w:r>
      <w:r>
        <w:rPr>
          <w:rFonts w:hint="eastAsia" w:ascii="仿宋_GB2312" w:hAnsi="仿宋" w:eastAsia="仿宋_GB2312"/>
          <w:bCs/>
          <w:color w:val="000000" w:themeColor="text1"/>
          <w:sz w:val="32"/>
          <w:szCs w:val="32"/>
        </w:rPr>
        <w:t>，2021年7月1日前支</w:t>
      </w:r>
      <w:r>
        <w:rPr>
          <w:rFonts w:hint="eastAsia" w:ascii="仿宋_GB2312" w:hAnsi="仿宋" w:eastAsia="仿宋_GB2312"/>
          <w:bCs/>
          <w:color w:val="000000" w:themeColor="text1"/>
          <w:kern w:val="0"/>
          <w:sz w:val="32"/>
          <w:szCs w:val="32"/>
        </w:rPr>
        <w:t>付345.77万元，2021年12月1日前支付剩余款项148.19万元。</w:t>
      </w:r>
    </w:p>
    <w:p>
      <w:pPr>
        <w:spacing w:line="360" w:lineRule="auto"/>
        <w:ind w:firstLine="642" w:firstLineChars="200"/>
        <w:outlineLvl w:val="2"/>
        <w:rPr>
          <w:rFonts w:ascii="仿宋_GB2312" w:hAnsi="仿宋_GB2312" w:eastAsia="仿宋_GB2312" w:cs="仿宋_GB2312"/>
          <w:b/>
          <w:sz w:val="32"/>
          <w:szCs w:val="32"/>
        </w:rPr>
      </w:pPr>
      <w:r>
        <w:rPr>
          <w:rFonts w:hint="eastAsia" w:ascii="仿宋_GB2312" w:hAnsi="仿宋_GB2312" w:eastAsia="仿宋_GB2312" w:cs="仿宋_GB2312"/>
          <w:b/>
          <w:sz w:val="32"/>
          <w:szCs w:val="32"/>
        </w:rPr>
        <w:t>（二）项目绩效</w:t>
      </w:r>
      <w:r>
        <w:rPr>
          <w:rFonts w:ascii="仿宋_GB2312" w:hAnsi="仿宋_GB2312" w:eastAsia="仿宋_GB2312" w:cs="仿宋_GB2312"/>
          <w:b/>
          <w:sz w:val="32"/>
          <w:szCs w:val="32"/>
        </w:rPr>
        <w:t>目标</w:t>
      </w:r>
    </w:p>
    <w:p>
      <w:pPr>
        <w:spacing w:line="360" w:lineRule="auto"/>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1.预期总目标</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通过制作《清风北京》电视栏目，聚焦主责主业，宣传北京纪检监察工作成果，深入挖掘中国古代廉政文化内涵，大力弘扬我们党的优良传统，使之成为新形势下加强纪检监察工作的重要资源，营造风清气正的社会环境。第一阶段目标，探索纪检监察业务的电视化表达，摸索形成项目生产标准化流程；第二阶段目标，拓展宣传领域，不断提高项目影响力与公信力；第三阶段目标，整合市区两级纪检监察资源，形成共融互通、上下协同的纪检监察宣传格局。</w:t>
      </w:r>
    </w:p>
    <w:p>
      <w:pPr>
        <w:spacing w:line="360" w:lineRule="auto"/>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2.2021年年度目标</w:t>
      </w:r>
    </w:p>
    <w:p>
      <w:pPr>
        <w:spacing w:line="360" w:lineRule="auto"/>
        <w:ind w:firstLine="640" w:firstLineChars="200"/>
        <w:rPr>
          <w:rFonts w:ascii="仿宋_GB2312" w:hAnsi="宋体" w:eastAsia="仿宋_GB2312" w:cs="仿宋"/>
          <w:color w:val="000000"/>
          <w:sz w:val="32"/>
          <w:szCs w:val="32"/>
        </w:rPr>
      </w:pPr>
      <w:r>
        <w:rPr>
          <w:rFonts w:hint="eastAsia" w:ascii="仿宋_GB2312" w:hAnsi="宋体" w:eastAsia="仿宋_GB2312" w:cs="仿宋"/>
          <w:color w:val="000000"/>
          <w:sz w:val="32"/>
          <w:szCs w:val="32"/>
        </w:rPr>
        <w:t>全年生产52期节目，每期20分钟，约1040分钟节目量，制作相关短视频3-5个，宣传渠道12个。节目收视率0.15以上，电视节目转播率90%以上。主要面向以党员干部为主体的社会大众，满足全市党员干部及公职人员对纪律教育需求，提升社会大众对纪检监察工作的认知度。</w:t>
      </w:r>
    </w:p>
    <w:p>
      <w:pPr>
        <w:adjustRightInd w:val="0"/>
        <w:spacing w:line="360" w:lineRule="auto"/>
        <w:ind w:firstLine="640"/>
        <w:outlineLvl w:val="0"/>
        <w:rPr>
          <w:rFonts w:ascii="黑体" w:hAnsi="黑体" w:eastAsia="黑体"/>
          <w:sz w:val="32"/>
        </w:rPr>
      </w:pPr>
      <w:bookmarkStart w:id="0" w:name="_Toc468778994"/>
      <w:bookmarkStart w:id="1" w:name="_Toc14097447"/>
      <w:r>
        <w:rPr>
          <w:rFonts w:hint="eastAsia" w:ascii="黑体" w:hAnsi="黑体" w:eastAsia="黑体"/>
          <w:sz w:val="32"/>
        </w:rPr>
        <w:t>二、绩效评价</w:t>
      </w:r>
      <w:bookmarkEnd w:id="0"/>
      <w:bookmarkStart w:id="2" w:name="_Toc468778995"/>
      <w:bookmarkStart w:id="3" w:name="_Toc402873091"/>
      <w:r>
        <w:rPr>
          <w:rFonts w:hint="eastAsia" w:ascii="黑体" w:hAnsi="黑体" w:eastAsia="黑体"/>
          <w:sz w:val="32"/>
        </w:rPr>
        <w:t>工作</w:t>
      </w:r>
      <w:bookmarkEnd w:id="1"/>
      <w:r>
        <w:rPr>
          <w:rFonts w:hint="eastAsia" w:ascii="黑体" w:hAnsi="黑体" w:eastAsia="黑体"/>
          <w:sz w:val="32"/>
        </w:rPr>
        <w:t>开展情况</w:t>
      </w:r>
    </w:p>
    <w:bookmarkEnd w:id="2"/>
    <w:bookmarkEnd w:id="3"/>
    <w:p>
      <w:pPr>
        <w:pStyle w:val="18"/>
        <w:adjustRightInd w:val="0"/>
        <w:spacing w:before="0" w:after="0" w:line="360" w:lineRule="auto"/>
        <w:ind w:firstLine="643"/>
        <w:jc w:val="left"/>
        <w:outlineLvl w:val="1"/>
        <w:rPr>
          <w:rFonts w:ascii="仿宋_GB2312" w:hAnsi="宋体" w:eastAsia="仿宋_GB2312"/>
          <w:bCs w:val="0"/>
        </w:rPr>
      </w:pPr>
      <w:r>
        <w:rPr>
          <w:rFonts w:hint="eastAsia" w:ascii="仿宋_GB2312" w:hAnsi="宋体" w:eastAsia="仿宋_GB2312"/>
          <w:bCs w:val="0"/>
        </w:rPr>
        <w:t>（一）评价目的与重点</w:t>
      </w:r>
    </w:p>
    <w:p>
      <w:pPr>
        <w:spacing w:line="360" w:lineRule="auto"/>
        <w:ind w:firstLine="640"/>
        <w:rPr>
          <w:rFonts w:ascii="仿宋_GB2312" w:eastAsia="仿宋_GB2312"/>
          <w:sz w:val="32"/>
          <w:szCs w:val="32"/>
        </w:rPr>
      </w:pPr>
      <w:r>
        <w:rPr>
          <w:rFonts w:hint="eastAsia" w:ascii="仿宋_GB2312" w:eastAsia="仿宋_GB2312"/>
          <w:sz w:val="32"/>
          <w:szCs w:val="32"/>
        </w:rPr>
        <w:t>1.评价目的</w:t>
      </w:r>
    </w:p>
    <w:p>
      <w:pPr>
        <w:adjustRightInd w:val="0"/>
        <w:snapToGrid w:val="0"/>
        <w:spacing w:line="360" w:lineRule="auto"/>
        <w:ind w:firstLine="640" w:firstLineChars="200"/>
        <w:rPr>
          <w:rFonts w:ascii="仿宋_GB2312" w:eastAsia="仿宋_GB2312"/>
          <w:bCs/>
          <w:kern w:val="0"/>
          <w:sz w:val="32"/>
          <w:szCs w:val="32"/>
        </w:rPr>
      </w:pPr>
      <w:r>
        <w:rPr>
          <w:rFonts w:hint="eastAsia" w:ascii="仿宋_GB2312" w:eastAsia="仿宋_GB2312"/>
          <w:sz w:val="32"/>
          <w:szCs w:val="32"/>
        </w:rPr>
        <w:t>通过对</w:t>
      </w:r>
      <w:r>
        <w:rPr>
          <w:rFonts w:hint="eastAsia" w:ascii="仿宋_GB2312" w:hAnsi="仿宋" w:eastAsia="仿宋_GB2312" w:cs="仿宋_GB2312"/>
          <w:sz w:val="32"/>
          <w:szCs w:val="32"/>
        </w:rPr>
        <w:t>“</w:t>
      </w:r>
      <w:r>
        <w:rPr>
          <w:rFonts w:hint="eastAsia" w:ascii="仿宋_GB2312" w:eastAsia="仿宋_GB2312"/>
          <w:sz w:val="32"/>
          <w:szCs w:val="32"/>
        </w:rPr>
        <w:t>纪检监察电视栏目制作</w:t>
      </w:r>
      <w:r>
        <w:rPr>
          <w:rFonts w:hint="eastAsia" w:ascii="仿宋_GB2312" w:hAnsi="仿宋" w:eastAsia="仿宋_GB2312" w:cs="仿宋_GB2312"/>
          <w:sz w:val="32"/>
          <w:szCs w:val="32"/>
        </w:rPr>
        <w:t>”项目</w:t>
      </w:r>
      <w:r>
        <w:rPr>
          <w:rFonts w:hint="eastAsia" w:ascii="仿宋_GB2312" w:eastAsia="仿宋_GB2312"/>
          <w:sz w:val="32"/>
          <w:szCs w:val="32"/>
        </w:rPr>
        <w:t>的实施情况进行全面评价，反映该项目的决策、过程、产出、效益等方面情况，并针对评价过程发现的问题，提出项目决策、过程管理、绩效改善等方面的建议，</w:t>
      </w:r>
      <w:r>
        <w:rPr>
          <w:rFonts w:hint="eastAsia" w:ascii="仿宋_GB2312" w:eastAsia="仿宋_GB2312"/>
          <w:bCs/>
          <w:kern w:val="0"/>
          <w:sz w:val="32"/>
          <w:szCs w:val="32"/>
        </w:rPr>
        <w:t>切实增强部门支出责任，强化监管和完善追责问效机制，防控支出管理风险，进一步提高财政资金使用效益。</w:t>
      </w:r>
    </w:p>
    <w:p>
      <w:pPr>
        <w:spacing w:line="360" w:lineRule="auto"/>
        <w:ind w:firstLine="640"/>
        <w:rPr>
          <w:rFonts w:ascii="仿宋_GB2312" w:eastAsia="仿宋_GB2312"/>
          <w:sz w:val="32"/>
          <w:szCs w:val="32"/>
        </w:rPr>
      </w:pPr>
      <w:r>
        <w:rPr>
          <w:rFonts w:hint="eastAsia" w:ascii="仿宋_GB2312" w:eastAsia="仿宋_GB2312"/>
          <w:sz w:val="32"/>
          <w:szCs w:val="32"/>
        </w:rPr>
        <w:t>2.评价重点</w:t>
      </w:r>
    </w:p>
    <w:p>
      <w:pPr>
        <w:spacing w:line="360" w:lineRule="auto"/>
        <w:ind w:firstLine="640"/>
        <w:rPr>
          <w:rFonts w:ascii="仿宋_GB2312" w:eastAsia="仿宋_GB2312"/>
          <w:sz w:val="32"/>
          <w:szCs w:val="32"/>
        </w:rPr>
      </w:pPr>
      <w:r>
        <w:rPr>
          <w:rFonts w:hint="eastAsia" w:ascii="仿宋_GB2312" w:eastAsia="仿宋_GB2312"/>
          <w:sz w:val="32"/>
          <w:szCs w:val="32"/>
        </w:rPr>
        <w:t>根据项目实施周期，本次绩效评价时段确定为2021年项目的执行情况，评价的资金为493万元。评价重点为：一是根据项目的申报资料及实施方案，考核项目实施内容及任务是否完成，实施内容是否与原设定的项目内容和目标以及批准的项目预算一致，其成效是否达到预期；二是关注项目实施过程的各环节，检验和考核项目实施过程管理的规范性和有效性。</w:t>
      </w:r>
      <w:r>
        <w:rPr>
          <w:rFonts w:ascii="仿宋_GB2312" w:eastAsia="仿宋_GB2312"/>
          <w:sz w:val="32"/>
          <w:szCs w:val="32"/>
        </w:rPr>
        <w:t xml:space="preserve"> </w:t>
      </w:r>
    </w:p>
    <w:p>
      <w:pPr>
        <w:adjustRightInd w:val="0"/>
        <w:spacing w:line="360" w:lineRule="auto"/>
        <w:ind w:firstLine="643"/>
        <w:outlineLvl w:val="1"/>
        <w:rPr>
          <w:rFonts w:ascii="仿宋_GB2312" w:hAnsi="宋体" w:eastAsia="仿宋_GB2312" w:cs="宋体"/>
          <w:b/>
          <w:kern w:val="0"/>
          <w:sz w:val="32"/>
          <w:szCs w:val="32"/>
        </w:rPr>
      </w:pPr>
      <w:bookmarkStart w:id="4" w:name="_Toc14097449"/>
      <w:bookmarkStart w:id="5" w:name="_Toc468778996"/>
      <w:bookmarkStart w:id="6" w:name="_Toc438629638"/>
      <w:r>
        <w:rPr>
          <w:rFonts w:hint="eastAsia" w:ascii="仿宋_GB2312" w:hAnsi="宋体" w:eastAsia="仿宋_GB2312" w:cs="宋体"/>
          <w:b/>
          <w:kern w:val="0"/>
          <w:sz w:val="32"/>
          <w:szCs w:val="32"/>
        </w:rPr>
        <w:t>（二）评价原则与方法</w:t>
      </w:r>
      <w:bookmarkEnd w:id="4"/>
      <w:bookmarkEnd w:id="5"/>
      <w:bookmarkEnd w:id="6"/>
    </w:p>
    <w:p>
      <w:pPr>
        <w:spacing w:line="360" w:lineRule="auto"/>
        <w:ind w:firstLine="640"/>
        <w:rPr>
          <w:rFonts w:ascii="仿宋_GB2312" w:hAnsi="Arial" w:eastAsia="仿宋_GB2312" w:cs="Arial"/>
          <w:kern w:val="0"/>
          <w:sz w:val="32"/>
          <w:szCs w:val="32"/>
        </w:rPr>
      </w:pPr>
      <w:r>
        <w:rPr>
          <w:rFonts w:hint="eastAsia" w:ascii="仿宋_GB2312" w:hAnsi="Arial" w:eastAsia="仿宋_GB2312" w:cs="Arial"/>
          <w:kern w:val="0"/>
          <w:sz w:val="32"/>
          <w:szCs w:val="32"/>
        </w:rPr>
        <w:t>本次绩效评价遵循“客观、公正、科学、规范”的原则，</w:t>
      </w:r>
      <w:r>
        <w:rPr>
          <w:rFonts w:hint="eastAsia" w:ascii="仿宋_GB2312" w:hAnsi="仿宋_GB2312" w:eastAsia="仿宋_GB2312" w:cs="仿宋_GB2312"/>
          <w:sz w:val="32"/>
          <w:szCs w:val="32"/>
        </w:rPr>
        <w:t>采取定性与定量相结合的方式，</w:t>
      </w:r>
      <w:r>
        <w:rPr>
          <w:rFonts w:hint="eastAsia" w:ascii="仿宋_GB2312" w:hAnsi="Arial" w:eastAsia="仿宋_GB2312" w:cs="Arial"/>
          <w:kern w:val="0"/>
          <w:sz w:val="32"/>
          <w:szCs w:val="32"/>
        </w:rPr>
        <w:t>结合项目的特点，采用</w:t>
      </w:r>
      <w:r>
        <w:rPr>
          <w:rFonts w:hint="eastAsia" w:ascii="仿宋_GB2312" w:hAnsi="仿宋_GB2312" w:eastAsia="仿宋_GB2312" w:cs="仿宋_GB2312"/>
          <w:sz w:val="32"/>
          <w:szCs w:val="32"/>
        </w:rPr>
        <w:t>案卷研究法、</w:t>
      </w:r>
      <w:r>
        <w:rPr>
          <w:rFonts w:hint="eastAsia" w:ascii="仿宋_GB2312" w:eastAsia="仿宋_GB2312"/>
          <w:sz w:val="32"/>
          <w:szCs w:val="32"/>
        </w:rPr>
        <w:t>目标预定与实施效果比较法、</w:t>
      </w:r>
      <w:r>
        <w:rPr>
          <w:rFonts w:hint="eastAsia" w:ascii="仿宋_GB2312" w:hAnsi="仿宋_GB2312" w:eastAsia="仿宋_GB2312" w:cs="仿宋_GB2312"/>
          <w:sz w:val="32"/>
          <w:szCs w:val="32"/>
        </w:rPr>
        <w:t>专家评议法等方法，</w:t>
      </w:r>
      <w:r>
        <w:rPr>
          <w:rFonts w:hint="eastAsia" w:ascii="仿宋_GB2312" w:hAnsi="宋体" w:eastAsia="仿宋_GB2312" w:cs="宋体"/>
          <w:kern w:val="0"/>
          <w:sz w:val="32"/>
          <w:szCs w:val="32"/>
        </w:rPr>
        <w:t>通过查阅资料、听取项目情况介绍、质询等方式了解项目实施情况，从项目决策、项目过程、项目产出、项目效益4个方面开展评价。</w:t>
      </w:r>
    </w:p>
    <w:p>
      <w:pPr>
        <w:adjustRightInd w:val="0"/>
        <w:spacing w:line="360" w:lineRule="auto"/>
        <w:ind w:firstLine="643"/>
        <w:outlineLvl w:val="1"/>
        <w:rPr>
          <w:rFonts w:ascii="仿宋_GB2312" w:hAnsi="宋体" w:eastAsia="仿宋_GB2312" w:cs="宋体"/>
          <w:b/>
          <w:kern w:val="0"/>
          <w:sz w:val="32"/>
          <w:szCs w:val="32"/>
        </w:rPr>
      </w:pPr>
      <w:bookmarkStart w:id="7" w:name="_Toc14097450"/>
      <w:r>
        <w:rPr>
          <w:rFonts w:hint="eastAsia" w:ascii="仿宋_GB2312" w:hAnsi="宋体" w:eastAsia="仿宋_GB2312" w:cs="宋体"/>
          <w:b/>
          <w:kern w:val="0"/>
          <w:sz w:val="32"/>
          <w:szCs w:val="32"/>
        </w:rPr>
        <w:t>（三）绩效评价指标体系及评分</w:t>
      </w:r>
      <w:bookmarkEnd w:id="7"/>
      <w:r>
        <w:rPr>
          <w:rFonts w:hint="eastAsia" w:ascii="仿宋_GB2312" w:hAnsi="宋体" w:eastAsia="仿宋_GB2312" w:cs="宋体"/>
          <w:b/>
          <w:kern w:val="0"/>
          <w:sz w:val="32"/>
          <w:szCs w:val="32"/>
        </w:rPr>
        <w:t>标准</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 w:eastAsia="仿宋_GB2312" w:cs="仿宋_GB2312"/>
          <w:sz w:val="32"/>
          <w:szCs w:val="32"/>
        </w:rPr>
        <w:t>《北京市项目支出绩效评价管理办法》（京财预〔2020〕2146号），本次绩效评价指标体系的一级指标包括</w:t>
      </w:r>
      <w:r>
        <w:rPr>
          <w:rFonts w:hint="eastAsia" w:ascii="仿宋_GB2312" w:hAnsi="仿宋_GB2312" w:eastAsia="仿宋_GB2312" w:cs="仿宋_GB2312"/>
          <w:sz w:val="32"/>
          <w:szCs w:val="32"/>
        </w:rPr>
        <w:t>项目决策、项目过程、项目产出、项目效益4个方面，满分100分。项目决策指标（15分）主要评价</w:t>
      </w:r>
      <w:r>
        <w:rPr>
          <w:rFonts w:ascii="仿宋_GB2312" w:hAnsi="仿宋_GB2312" w:eastAsia="仿宋_GB2312" w:cs="仿宋_GB2312"/>
          <w:sz w:val="32"/>
          <w:szCs w:val="32"/>
        </w:rPr>
        <w:t>立项目项</w:t>
      </w:r>
      <w:r>
        <w:rPr>
          <w:rFonts w:hint="eastAsia" w:ascii="仿宋_GB2312" w:hAnsi="仿宋_GB2312" w:eastAsia="仿宋_GB2312" w:cs="仿宋_GB2312"/>
          <w:sz w:val="32"/>
          <w:szCs w:val="32"/>
        </w:rPr>
        <w:t>决策、项目绩效目标设定和资金投入等内容；项目过程指标（25分）主要评价资金到位和管理、组织实施等内容；项目产出指标（40分）主要评价项目产出的数量、质量、时效和成本4个方面内容；项目效益指标（20分），主要评价项目的社会效益、经济效益、可持续影响和服务对象满意度等内容。项目绩效</w:t>
      </w:r>
      <w:r>
        <w:rPr>
          <w:rFonts w:ascii="仿宋_GB2312" w:hAnsi="仿宋_GB2312" w:eastAsia="仿宋_GB2312" w:cs="仿宋_GB2312"/>
          <w:sz w:val="32"/>
          <w:szCs w:val="32"/>
        </w:rPr>
        <w:t>评价指标体系</w:t>
      </w:r>
      <w:r>
        <w:rPr>
          <w:rFonts w:hint="eastAsia" w:ascii="仿宋_GB2312" w:hAnsi="仿宋_GB2312" w:eastAsia="仿宋_GB2312" w:cs="仿宋_GB2312"/>
          <w:sz w:val="32"/>
          <w:szCs w:val="32"/>
        </w:rPr>
        <w:t>详见</w:t>
      </w:r>
      <w:r>
        <w:rPr>
          <w:rFonts w:ascii="仿宋_GB2312" w:hAnsi="仿宋_GB2312" w:eastAsia="仿宋_GB2312" w:cs="仿宋_GB2312"/>
          <w:sz w:val="32"/>
          <w:szCs w:val="32"/>
        </w:rPr>
        <w:t>附件</w:t>
      </w:r>
      <w:r>
        <w:rPr>
          <w:rFonts w:hint="eastAsia" w:ascii="仿宋_GB2312" w:hAnsi="仿宋_GB2312" w:eastAsia="仿宋_GB2312" w:cs="仿宋_GB2312"/>
          <w:sz w:val="32"/>
          <w:szCs w:val="32"/>
        </w:rPr>
        <w:t>。</w:t>
      </w:r>
    </w:p>
    <w:p>
      <w:pPr>
        <w:autoSpaceDE w:val="0"/>
        <w:autoSpaceDN w:val="0"/>
        <w:adjustRightInd w:val="0"/>
        <w:spacing w:line="360" w:lineRule="auto"/>
        <w:ind w:firstLine="640"/>
        <w:rPr>
          <w:rFonts w:ascii="仿宋_GB2312" w:hAnsi="宋体" w:eastAsia="仿宋_GB2312"/>
          <w:sz w:val="32"/>
          <w:szCs w:val="32"/>
        </w:rPr>
      </w:pPr>
      <w:r>
        <w:rPr>
          <w:rFonts w:hint="eastAsia" w:ascii="仿宋_GB2312" w:hAnsi="宋体" w:eastAsia="仿宋_GB2312"/>
          <w:sz w:val="32"/>
          <w:szCs w:val="32"/>
        </w:rPr>
        <w:t>根据北京市财政局关于绩效评价相关文件精神，评价工作组结合项目特点，细化了绩效评价指标体系，在一、二级指标基础上，根据评价要点，设置三级指标。并根据各级指标的重要性赋予不同权重和分值。在具体评价过程中，评价专家组根据收集的证据和评级规则，凭借对项目的深入了解和在预算绩效管理领域的专业判断对项目绩效进行打分和评级。</w:t>
      </w:r>
    </w:p>
    <w:p>
      <w:pPr>
        <w:autoSpaceDE w:val="0"/>
        <w:autoSpaceDN w:val="0"/>
        <w:adjustRightInd w:val="0"/>
        <w:spacing w:line="360" w:lineRule="auto"/>
        <w:ind w:firstLine="640"/>
        <w:rPr>
          <w:rFonts w:ascii="仿宋_GB2312" w:hAnsi="宋体" w:eastAsia="仿宋_GB2312"/>
          <w:sz w:val="32"/>
          <w:szCs w:val="32"/>
        </w:rPr>
      </w:pPr>
      <w:r>
        <w:rPr>
          <w:rFonts w:hint="eastAsia" w:ascii="仿宋_GB2312" w:hAnsi="宋体" w:eastAsia="仿宋_GB2312"/>
          <w:sz w:val="32"/>
          <w:szCs w:val="32"/>
        </w:rPr>
        <w:t>本次评价结果分为四个等级，分为优、良、中、差。</w:t>
      </w:r>
    </w:p>
    <w:p>
      <w:pPr>
        <w:autoSpaceDE w:val="0"/>
        <w:autoSpaceDN w:val="0"/>
        <w:adjustRightInd w:val="0"/>
        <w:spacing w:line="360" w:lineRule="auto"/>
        <w:ind w:firstLine="640"/>
        <w:rPr>
          <w:rFonts w:ascii="仿宋_GB2312" w:hAnsi="宋体" w:eastAsia="仿宋_GB2312"/>
          <w:sz w:val="32"/>
          <w:szCs w:val="32"/>
        </w:rPr>
      </w:pPr>
      <w:r>
        <w:rPr>
          <w:rFonts w:hint="eastAsia" w:ascii="仿宋_GB2312" w:hAnsi="宋体" w:eastAsia="仿宋_GB2312"/>
          <w:sz w:val="32"/>
          <w:szCs w:val="32"/>
        </w:rPr>
        <w:t>综合得分在90-100分（含90分）为优；</w:t>
      </w:r>
    </w:p>
    <w:p>
      <w:pPr>
        <w:autoSpaceDE w:val="0"/>
        <w:autoSpaceDN w:val="0"/>
        <w:adjustRightInd w:val="0"/>
        <w:spacing w:line="360" w:lineRule="auto"/>
        <w:ind w:firstLine="640"/>
        <w:rPr>
          <w:rFonts w:ascii="仿宋_GB2312" w:hAnsi="宋体" w:eastAsia="仿宋_GB2312"/>
          <w:sz w:val="32"/>
          <w:szCs w:val="32"/>
        </w:rPr>
      </w:pPr>
      <w:r>
        <w:rPr>
          <w:rFonts w:hint="eastAsia" w:ascii="仿宋_GB2312" w:hAnsi="宋体" w:eastAsia="仿宋_GB2312"/>
          <w:sz w:val="32"/>
          <w:szCs w:val="32"/>
        </w:rPr>
        <w:t>综合得分在80-90分（含80分）为良；</w:t>
      </w:r>
    </w:p>
    <w:p>
      <w:pPr>
        <w:autoSpaceDE w:val="0"/>
        <w:autoSpaceDN w:val="0"/>
        <w:adjustRightInd w:val="0"/>
        <w:spacing w:line="360" w:lineRule="auto"/>
        <w:ind w:firstLine="640"/>
        <w:rPr>
          <w:rFonts w:ascii="仿宋_GB2312" w:hAnsi="宋体" w:eastAsia="仿宋_GB2312"/>
          <w:sz w:val="32"/>
          <w:szCs w:val="32"/>
        </w:rPr>
      </w:pPr>
      <w:r>
        <w:rPr>
          <w:rFonts w:hint="eastAsia" w:ascii="仿宋_GB2312" w:hAnsi="宋体" w:eastAsia="仿宋_GB2312"/>
          <w:sz w:val="32"/>
          <w:szCs w:val="32"/>
        </w:rPr>
        <w:t>综合得分在60-80分（含60分）为中；</w:t>
      </w:r>
    </w:p>
    <w:p>
      <w:pPr>
        <w:autoSpaceDE w:val="0"/>
        <w:autoSpaceDN w:val="0"/>
        <w:adjustRightInd w:val="0"/>
        <w:spacing w:line="360" w:lineRule="auto"/>
        <w:ind w:firstLine="640"/>
        <w:rPr>
          <w:rFonts w:ascii="仿宋_GB2312" w:hAnsi="宋体" w:eastAsia="仿宋_GB2312"/>
          <w:sz w:val="32"/>
          <w:szCs w:val="32"/>
        </w:rPr>
      </w:pPr>
      <w:r>
        <w:rPr>
          <w:rFonts w:hint="eastAsia" w:ascii="仿宋_GB2312" w:hAnsi="宋体" w:eastAsia="仿宋_GB2312"/>
          <w:sz w:val="32"/>
          <w:szCs w:val="32"/>
        </w:rPr>
        <w:t>综合得分在60分以下为差。</w:t>
      </w:r>
    </w:p>
    <w:p>
      <w:pPr>
        <w:autoSpaceDE w:val="0"/>
        <w:autoSpaceDN w:val="0"/>
        <w:adjustRightInd w:val="0"/>
        <w:spacing w:line="360" w:lineRule="auto"/>
        <w:ind w:firstLine="640"/>
        <w:rPr>
          <w:rFonts w:ascii="仿宋_GB2312" w:hAnsi="宋体" w:eastAsia="仿宋_GB2312"/>
          <w:b/>
          <w:sz w:val="32"/>
          <w:szCs w:val="32"/>
        </w:rPr>
      </w:pPr>
      <w:r>
        <w:rPr>
          <w:rFonts w:hint="eastAsia" w:ascii="仿宋_GB2312" w:hAnsi="宋体" w:eastAsia="仿宋_GB2312"/>
          <w:b/>
          <w:sz w:val="32"/>
          <w:szCs w:val="32"/>
        </w:rPr>
        <w:t>（四）绩效评价工作过程</w:t>
      </w:r>
    </w:p>
    <w:p>
      <w:pPr>
        <w:autoSpaceDE w:val="0"/>
        <w:autoSpaceDN w:val="0"/>
        <w:adjustRightInd w:val="0"/>
        <w:snapToGrid w:val="0"/>
        <w:spacing w:line="360" w:lineRule="auto"/>
        <w:ind w:firstLine="640"/>
        <w:rPr>
          <w:rFonts w:ascii="仿宋_GB2312" w:hAnsi="宋体" w:eastAsia="仿宋_GB2312"/>
          <w:sz w:val="32"/>
          <w:szCs w:val="32"/>
        </w:rPr>
      </w:pPr>
      <w:r>
        <w:rPr>
          <w:rFonts w:hint="eastAsia" w:ascii="仿宋_GB2312" w:hAnsi="宋体" w:eastAsia="仿宋_GB2312"/>
          <w:sz w:val="32"/>
          <w:szCs w:val="32"/>
        </w:rPr>
        <w:t>为保证绩效评价工作的客观公正，本次评价工作遵守严格、规范的工作程序，具体实施时间为2022年6月13日至2022年6月23日，包括准备、实施、总结及应用三个阶段。</w:t>
      </w:r>
    </w:p>
    <w:p>
      <w:pPr>
        <w:spacing w:line="360" w:lineRule="auto"/>
        <w:ind w:firstLine="482"/>
        <w:rPr>
          <w:rFonts w:ascii="仿宋_GB2312" w:eastAsia="仿宋_GB2312"/>
          <w:sz w:val="32"/>
          <w:szCs w:val="32"/>
        </w:rPr>
      </w:pPr>
      <w:r>
        <w:rPr>
          <w:rFonts w:hint="eastAsia" w:ascii="仿宋_GB2312" w:eastAsia="仿宋_GB2312"/>
          <w:sz w:val="32"/>
          <w:szCs w:val="32"/>
        </w:rPr>
        <w:t>1．准备阶段的主要工作</w:t>
      </w:r>
    </w:p>
    <w:p>
      <w:pPr>
        <w:spacing w:line="360" w:lineRule="auto"/>
        <w:ind w:firstLine="482"/>
        <w:rPr>
          <w:rFonts w:ascii="仿宋_GB2312" w:eastAsia="仿宋_GB2312"/>
          <w:sz w:val="32"/>
          <w:szCs w:val="32"/>
        </w:rPr>
      </w:pPr>
      <w:r>
        <w:rPr>
          <w:rFonts w:hint="eastAsia" w:ascii="仿宋_GB2312" w:eastAsia="仿宋_GB2312"/>
          <w:sz w:val="32"/>
          <w:szCs w:val="32"/>
        </w:rPr>
        <w:t>（1）组建评价工作组。评价工作组由北京市纪委财务处、北京工商大学绩效管理研究院共同组成。</w:t>
      </w:r>
    </w:p>
    <w:p>
      <w:pPr>
        <w:spacing w:line="360" w:lineRule="auto"/>
        <w:ind w:firstLine="482"/>
        <w:rPr>
          <w:rFonts w:ascii="仿宋_GB2312" w:eastAsia="仿宋_GB2312"/>
          <w:sz w:val="32"/>
          <w:szCs w:val="32"/>
        </w:rPr>
      </w:pPr>
      <w:r>
        <w:rPr>
          <w:rFonts w:hint="eastAsia" w:ascii="仿宋_GB2312" w:eastAsia="仿宋_GB2312"/>
          <w:sz w:val="32"/>
          <w:szCs w:val="32"/>
        </w:rPr>
        <w:t>（2）撰写工作方案。明确评价工作时间进度安排、方式方法、评价内容及保障机制等，并报北京市纪委财务处审阅、同意。</w:t>
      </w:r>
    </w:p>
    <w:p>
      <w:pPr>
        <w:spacing w:line="360" w:lineRule="auto"/>
        <w:ind w:firstLine="482"/>
        <w:rPr>
          <w:rFonts w:ascii="仿宋_GB2312" w:eastAsia="仿宋_GB2312"/>
          <w:sz w:val="32"/>
          <w:szCs w:val="32"/>
        </w:rPr>
      </w:pPr>
      <w:r>
        <w:rPr>
          <w:rFonts w:hint="eastAsia" w:ascii="仿宋_GB2312" w:eastAsia="仿宋_GB2312"/>
          <w:sz w:val="32"/>
          <w:szCs w:val="32"/>
        </w:rPr>
        <w:t>（3）组建专家组。遴选相关业务专家2名、管理专家2名和财务专家1名，组成评价专家组，确定1人担任专家组组长。</w:t>
      </w:r>
    </w:p>
    <w:p>
      <w:pPr>
        <w:spacing w:line="360" w:lineRule="auto"/>
        <w:ind w:firstLine="482"/>
        <w:rPr>
          <w:rFonts w:ascii="仿宋_GB2312" w:eastAsia="仿宋_GB2312"/>
          <w:sz w:val="32"/>
          <w:szCs w:val="32"/>
        </w:rPr>
      </w:pPr>
      <w:r>
        <w:rPr>
          <w:rFonts w:hint="eastAsia" w:ascii="仿宋_GB2312" w:eastAsia="仿宋_GB2312"/>
          <w:sz w:val="32"/>
          <w:szCs w:val="32"/>
        </w:rPr>
        <w:t>（4）沟通收集资料。与项目单位—北京市纪委取得联系，明确应提交的资料清单及提交时间，就提交材料中容易出现的问题、评价工作的安排及有关注意事项进行说明和指导。</w:t>
      </w:r>
    </w:p>
    <w:p>
      <w:pPr>
        <w:spacing w:line="360" w:lineRule="auto"/>
        <w:ind w:firstLine="482"/>
        <w:rPr>
          <w:rFonts w:ascii="仿宋_GB2312" w:eastAsia="仿宋_GB2312"/>
          <w:sz w:val="32"/>
          <w:szCs w:val="32"/>
        </w:rPr>
      </w:pPr>
      <w:r>
        <w:rPr>
          <w:rFonts w:hint="eastAsia" w:ascii="仿宋_GB2312" w:eastAsia="仿宋_GB2312"/>
          <w:sz w:val="32"/>
          <w:szCs w:val="32"/>
        </w:rPr>
        <w:t>2．实施阶段的主要工作</w:t>
      </w:r>
    </w:p>
    <w:p>
      <w:pPr>
        <w:spacing w:line="360" w:lineRule="auto"/>
        <w:ind w:firstLine="482"/>
        <w:rPr>
          <w:rFonts w:ascii="仿宋_GB2312" w:eastAsia="仿宋_GB2312"/>
          <w:sz w:val="32"/>
          <w:szCs w:val="32"/>
        </w:rPr>
      </w:pPr>
      <w:r>
        <w:rPr>
          <w:rFonts w:hint="eastAsia" w:ascii="仿宋_GB2312" w:eastAsia="仿宋_GB2312"/>
          <w:sz w:val="32"/>
          <w:szCs w:val="32"/>
        </w:rPr>
        <w:t>（1）收集审核资料。工作组对北京市纪委提供的材料内容的完整性、数据的准确性及勾稽关系进行审核，及时将审核意见反馈项目单位，要求时限内补充资料。</w:t>
      </w:r>
    </w:p>
    <w:p>
      <w:pPr>
        <w:spacing w:line="360" w:lineRule="auto"/>
        <w:ind w:firstLine="482"/>
        <w:rPr>
          <w:rFonts w:ascii="仿宋_GB2312" w:eastAsia="仿宋_GB2312"/>
          <w:sz w:val="32"/>
          <w:szCs w:val="32"/>
        </w:rPr>
      </w:pPr>
      <w:r>
        <w:rPr>
          <w:rFonts w:hint="eastAsia" w:ascii="仿宋_GB2312" w:eastAsia="仿宋_GB2312"/>
          <w:sz w:val="32"/>
          <w:szCs w:val="32"/>
        </w:rPr>
        <w:t>（2）项目单位补充资料后，工作组及时征求专家意见。专家就项目单位提交的资料进一步提出补充意见，并研讨确定评价指标体系。</w:t>
      </w:r>
    </w:p>
    <w:p>
      <w:pPr>
        <w:spacing w:line="360" w:lineRule="auto"/>
        <w:ind w:firstLine="482"/>
        <w:rPr>
          <w:rFonts w:ascii="仿宋_GB2312" w:eastAsia="仿宋_GB2312"/>
          <w:sz w:val="32"/>
          <w:szCs w:val="32"/>
        </w:rPr>
      </w:pPr>
      <w:r>
        <w:rPr>
          <w:rFonts w:hint="eastAsia" w:ascii="仿宋_GB2312" w:eastAsia="仿宋_GB2312"/>
          <w:sz w:val="32"/>
          <w:szCs w:val="32"/>
        </w:rPr>
        <w:t>（3）召开专家正式评价会议。6月20日召开正式评估会，由项目单位进行汇报，专家进行现场质询，通过双方充分交流沟通，专家出具个人意见及评分。</w:t>
      </w:r>
    </w:p>
    <w:p>
      <w:pPr>
        <w:spacing w:line="360" w:lineRule="auto"/>
        <w:ind w:firstLine="482"/>
        <w:rPr>
          <w:rFonts w:ascii="仿宋_GB2312" w:eastAsia="仿宋_GB2312"/>
          <w:sz w:val="32"/>
          <w:szCs w:val="32"/>
        </w:rPr>
      </w:pPr>
      <w:r>
        <w:rPr>
          <w:rFonts w:hint="eastAsia" w:ascii="仿宋_GB2312" w:eastAsia="仿宋_GB2312"/>
          <w:sz w:val="32"/>
          <w:szCs w:val="32"/>
        </w:rPr>
        <w:t>3.总结阶段的主要工作</w:t>
      </w:r>
    </w:p>
    <w:p>
      <w:pPr>
        <w:spacing w:line="360" w:lineRule="auto"/>
        <w:ind w:firstLine="482"/>
        <w:rPr>
          <w:rFonts w:ascii="仿宋_GB2312" w:eastAsia="仿宋_GB2312"/>
          <w:sz w:val="32"/>
          <w:szCs w:val="32"/>
        </w:rPr>
      </w:pPr>
      <w:r>
        <w:rPr>
          <w:rFonts w:hint="eastAsia" w:ascii="仿宋_GB2312" w:eastAsia="仿宋_GB2312"/>
          <w:sz w:val="32"/>
          <w:szCs w:val="32"/>
        </w:rPr>
        <w:t>（1）撰写报告。工作组根据专家组最终评价结论，撰写评价报告初稿，上报市纪委。</w:t>
      </w:r>
    </w:p>
    <w:p>
      <w:pPr>
        <w:spacing w:line="360" w:lineRule="auto"/>
        <w:ind w:firstLine="482"/>
        <w:rPr>
          <w:rFonts w:ascii="仿宋_GB2312" w:eastAsia="仿宋_GB2312"/>
          <w:sz w:val="32"/>
          <w:szCs w:val="32"/>
        </w:rPr>
      </w:pPr>
      <w:r>
        <w:rPr>
          <w:rFonts w:hint="eastAsia" w:ascii="仿宋_GB2312" w:eastAsia="仿宋_GB2312"/>
          <w:sz w:val="32"/>
          <w:szCs w:val="32"/>
        </w:rPr>
        <w:t>（2）反馈绩效评价报告。依据北京市市纪委的意见，工作组修改完善评价报告后，形成报告终稿,提交市纪委。</w:t>
      </w:r>
    </w:p>
    <w:p>
      <w:pPr>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三、综合绩效评价情况及评价结论</w:t>
      </w:r>
    </w:p>
    <w:p>
      <w:pPr>
        <w:spacing w:line="360" w:lineRule="auto"/>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经专家综合评价,</w:t>
      </w:r>
      <w:r>
        <w:rPr>
          <w:rFonts w:hint="eastAsia" w:ascii="仿宋_GB2312" w:eastAsia="仿宋_GB2312"/>
          <w:sz w:val="32"/>
          <w:szCs w:val="32"/>
        </w:rPr>
        <w:t>纪检监察电视栏目制作项目</w:t>
      </w:r>
      <w:r>
        <w:rPr>
          <w:rFonts w:hint="eastAsia" w:ascii="仿宋_GB2312" w:hAnsi="Arial" w:eastAsia="仿宋_GB2312" w:cs="Arial"/>
          <w:kern w:val="0"/>
          <w:sz w:val="32"/>
          <w:szCs w:val="32"/>
        </w:rPr>
        <w:t>得分90.2分，绩效级别为“优”。其中，项目决策得分为12.24分、项目过程得分为22.8分、项目产出得分为37.6分、项目效益得分17.56分。</w:t>
      </w:r>
    </w:p>
    <w:p>
      <w:pPr>
        <w:spacing w:line="360" w:lineRule="auto"/>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评价结论：项目决策具有明确的政策依据及鲜明的政治意义，项目需求明确，与北京市纪委的职责定位以及年度工作计划相符。项目管理流程较规范，项目既定的产出和效果指标基本实现。但是，</w:t>
      </w:r>
      <w:r>
        <w:rPr>
          <w:rFonts w:hint="eastAsia" w:ascii="仿宋_GB2312" w:hAnsi="仿宋" w:eastAsia="仿宋_GB2312"/>
          <w:bCs/>
          <w:kern w:val="0"/>
          <w:sz w:val="32"/>
          <w:szCs w:val="32"/>
        </w:rPr>
        <w:t>资金风险研判还不够精准，</w:t>
      </w:r>
      <w:r>
        <w:rPr>
          <w:rFonts w:hint="eastAsia" w:ascii="仿宋_GB2312" w:hAnsi="Arial" w:eastAsia="仿宋_GB2312" w:cs="Arial"/>
          <w:kern w:val="0"/>
          <w:sz w:val="32"/>
          <w:szCs w:val="32"/>
        </w:rPr>
        <w:t>绩效指标设置的科学性还有待进一步提高，项目在管理的精细化程度方面有待进一步加强。</w:t>
      </w:r>
    </w:p>
    <w:p>
      <w:pPr>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四、绩效评价指标分析</w:t>
      </w:r>
    </w:p>
    <w:p>
      <w:pPr>
        <w:adjustRightInd w:val="0"/>
        <w:spacing w:line="360" w:lineRule="auto"/>
        <w:ind w:firstLine="561"/>
        <w:rPr>
          <w:rFonts w:ascii="仿宋_GB2312" w:eastAsia="仿宋_GB2312" w:hAnsiTheme="minorEastAsia"/>
          <w:sz w:val="32"/>
          <w:szCs w:val="32"/>
        </w:rPr>
      </w:pPr>
      <w:r>
        <w:rPr>
          <w:rFonts w:hint="eastAsia" w:ascii="仿宋_GB2312" w:eastAsia="仿宋_GB2312" w:hAnsiTheme="minorEastAsia"/>
          <w:sz w:val="32"/>
          <w:szCs w:val="32"/>
        </w:rPr>
        <w:t>（一）项目决策情况</w:t>
      </w:r>
    </w:p>
    <w:p>
      <w:pPr>
        <w:adjustRightInd w:val="0"/>
        <w:snapToGrid w:val="0"/>
        <w:spacing w:line="360" w:lineRule="auto"/>
        <w:ind w:firstLine="640" w:firstLineChars="200"/>
        <w:rPr>
          <w:rFonts w:ascii="仿宋_GB2312" w:eastAsia="仿宋_GB2312"/>
          <w:bCs/>
          <w:kern w:val="0"/>
          <w:sz w:val="32"/>
          <w:szCs w:val="32"/>
        </w:rPr>
      </w:pPr>
      <w:r>
        <w:rPr>
          <w:rFonts w:hint="eastAsia" w:ascii="仿宋_GB2312" w:eastAsia="仿宋_GB2312" w:hAnsiTheme="minorEastAsia"/>
          <w:sz w:val="32"/>
          <w:szCs w:val="32"/>
        </w:rPr>
        <w:t>纪检监察电视栏目制作项目主要内容是生产制作《清风北京》电视节目，是北京市纪委为</w:t>
      </w:r>
      <w:r>
        <w:rPr>
          <w:rFonts w:hint="eastAsia" w:ascii="仿宋_GB2312" w:eastAsia="仿宋_GB2312"/>
          <w:bCs/>
          <w:kern w:val="0"/>
          <w:sz w:val="32"/>
          <w:szCs w:val="32"/>
        </w:rPr>
        <w:t>适应深化国家监察体制改革新形势，强化纪律教育和廉政教育，营造风清气正的舆论范围，在原有《镜鉴》栏目基础上改版而成的全新的纪律教育电视专栏节目。</w:t>
      </w:r>
      <w:r>
        <w:rPr>
          <w:rFonts w:hint="eastAsia" w:ascii="仿宋_GB2312" w:hAnsi="宋体" w:eastAsia="仿宋_GB2312"/>
          <w:sz w:val="32"/>
          <w:szCs w:val="32"/>
        </w:rPr>
        <w:t>项目实施</w:t>
      </w:r>
      <w:r>
        <w:rPr>
          <w:rFonts w:hint="eastAsia" w:ascii="仿宋_GB2312" w:eastAsia="仿宋_GB2312"/>
          <w:bCs/>
          <w:kern w:val="0"/>
          <w:sz w:val="32"/>
          <w:szCs w:val="32"/>
        </w:rPr>
        <w:t>具有鲜明的政治意义</w:t>
      </w:r>
      <w:r>
        <w:rPr>
          <w:rFonts w:hint="eastAsia" w:ascii="仿宋_GB2312" w:hAnsi="宋体" w:eastAsia="仿宋_GB2312"/>
          <w:sz w:val="32"/>
          <w:szCs w:val="32"/>
        </w:rPr>
        <w:t>，</w:t>
      </w:r>
      <w:r>
        <w:rPr>
          <w:rFonts w:hint="eastAsia" w:ascii="仿宋_GB2312" w:eastAsia="仿宋_GB2312"/>
          <w:bCs/>
          <w:kern w:val="0"/>
          <w:sz w:val="32"/>
          <w:szCs w:val="32"/>
        </w:rPr>
        <w:t>符合市纪委职责定位和年度工作计划。</w:t>
      </w:r>
      <w:r>
        <w:rPr>
          <w:rFonts w:hint="eastAsia" w:ascii="仿宋_GB2312" w:hAnsi="宋体" w:eastAsia="仿宋_GB2312"/>
          <w:sz w:val="32"/>
          <w:szCs w:val="32"/>
        </w:rPr>
        <w:t>立项依据充分，</w:t>
      </w:r>
      <w:r>
        <w:rPr>
          <w:rFonts w:hint="eastAsia" w:ascii="仿宋_GB2312" w:eastAsia="仿宋_GB2312"/>
          <w:bCs/>
          <w:kern w:val="0"/>
          <w:sz w:val="32"/>
          <w:szCs w:val="32"/>
        </w:rPr>
        <w:t>项目需求明确。</w:t>
      </w:r>
      <w:r>
        <w:rPr>
          <w:rFonts w:hint="eastAsia" w:ascii="仿宋_GB2312" w:eastAsia="仿宋_GB2312" w:hAnsiTheme="minorEastAsia"/>
          <w:sz w:val="32"/>
          <w:szCs w:val="32"/>
        </w:rPr>
        <w:t>项目立项申请、设立规程较规范。但</w:t>
      </w:r>
      <w:r>
        <w:rPr>
          <w:rFonts w:hint="eastAsia" w:ascii="仿宋_GB2312" w:hAnsi="宋体" w:eastAsia="仿宋_GB2312" w:cs="宋体"/>
          <w:bCs/>
          <w:sz w:val="32"/>
          <w:szCs w:val="32"/>
        </w:rPr>
        <w:t>项目单位对项目以往实施情况梳理分析不够，</w:t>
      </w:r>
      <w:r>
        <w:rPr>
          <w:rFonts w:hint="eastAsia" w:ascii="仿宋_GB2312" w:eastAsia="仿宋_GB2312" w:hAnsiTheme="minorEastAsia"/>
          <w:sz w:val="32"/>
          <w:szCs w:val="32"/>
        </w:rPr>
        <w:t>绩效指标设置的科学性还有提升的空间。</w:t>
      </w:r>
      <w:r>
        <w:rPr>
          <w:rFonts w:hint="eastAsia" w:ascii="仿宋_GB2312" w:eastAsia="仿宋_GB2312" w:hAnsiTheme="minorEastAsia"/>
          <w:b/>
          <w:sz w:val="32"/>
          <w:szCs w:val="32"/>
        </w:rPr>
        <w:t>该指标分值为15分，评价得分12.24分，得分率为81.6%。</w:t>
      </w:r>
    </w:p>
    <w:p>
      <w:pPr>
        <w:adjustRightInd w:val="0"/>
        <w:spacing w:line="360" w:lineRule="auto"/>
        <w:ind w:firstLine="561"/>
        <w:rPr>
          <w:rFonts w:ascii="仿宋_GB2312" w:eastAsia="仿宋_GB2312" w:hAnsiTheme="minorEastAsia"/>
          <w:sz w:val="32"/>
          <w:szCs w:val="32"/>
        </w:rPr>
      </w:pPr>
      <w:r>
        <w:rPr>
          <w:rFonts w:hint="eastAsia" w:ascii="仿宋_GB2312" w:eastAsia="仿宋_GB2312" w:hAnsiTheme="minorEastAsia"/>
          <w:sz w:val="32"/>
          <w:szCs w:val="32"/>
        </w:rPr>
        <w:t>（二）项目过程情况</w:t>
      </w:r>
    </w:p>
    <w:p>
      <w:pPr>
        <w:pStyle w:val="30"/>
        <w:adjustRightInd w:val="0"/>
        <w:snapToGrid w:val="0"/>
        <w:spacing w:line="360" w:lineRule="auto"/>
        <w:ind w:firstLine="640"/>
        <w:rPr>
          <w:rFonts w:ascii="仿宋_GB2312" w:hAnsi="仿宋" w:eastAsia="仿宋_GB2312"/>
          <w:kern w:val="0"/>
          <w:sz w:val="32"/>
          <w:szCs w:val="32"/>
        </w:rPr>
      </w:pPr>
      <w:r>
        <w:rPr>
          <w:rFonts w:hint="eastAsia" w:ascii="仿宋_GB2312" w:hAnsi="仿宋" w:eastAsia="仿宋_GB2312"/>
          <w:color w:val="000000"/>
          <w:kern w:val="0"/>
          <w:sz w:val="32"/>
          <w:szCs w:val="32"/>
        </w:rPr>
        <w:t>项目单位制定了项目实施方案，规定了全年的任务目标和实施进度。</w:t>
      </w:r>
      <w:r>
        <w:rPr>
          <w:rFonts w:hint="eastAsia" w:ascii="仿宋_GB2312" w:eastAsia="仿宋_GB2312" w:hAnsiTheme="minorEastAsia"/>
          <w:sz w:val="32"/>
          <w:szCs w:val="32"/>
        </w:rPr>
        <w:t>在项目的组织实施过程中，项目具体业务活动和流程较规范。</w:t>
      </w:r>
      <w:r>
        <w:rPr>
          <w:rFonts w:hint="eastAsia" w:ascii="仿宋_GB2312" w:hAnsi="仿宋" w:eastAsia="仿宋_GB2312"/>
          <w:color w:val="000000"/>
          <w:kern w:val="0"/>
          <w:sz w:val="32"/>
          <w:szCs w:val="32"/>
        </w:rPr>
        <w:t>市纪委制定了“《清风北京》电视栏目审看制度”和“《清风北京》制播制度”，以及较为严谨的工作规程，从选题申报、采编、审核到播出，每一个环节实行专人负责，责任到人，保证节目安全播出。在对第三方每周提供的项目产品，严格按“《清风北京》电视栏目审看制度”和“《清风北京》制播制度”执行。项目由第三方机构初审后，由市纪委监委宣传部集中审核把关，相关领导签字确认，最后上传至项目播出平台，经由播出平台复审后在固定频道、时间段播出。实施进度按工作计划进行，未出现任何播出事故。</w:t>
      </w:r>
      <w:r>
        <w:rPr>
          <w:rFonts w:hint="eastAsia" w:ascii="仿宋_GB2312" w:hAnsi="宋体" w:eastAsia="仿宋_GB2312" w:cs="仿宋"/>
          <w:bCs/>
          <w:sz w:val="32"/>
          <w:szCs w:val="32"/>
        </w:rPr>
        <w:t>但</w:t>
      </w:r>
      <w:r>
        <w:rPr>
          <w:rFonts w:hint="eastAsia" w:ascii="仿宋_GB2312" w:hAnsi="Arial" w:eastAsia="仿宋_GB2312" w:cs="Arial"/>
          <w:kern w:val="0"/>
          <w:sz w:val="32"/>
          <w:szCs w:val="32"/>
        </w:rPr>
        <w:t>项目在过程管理资料的留痕以及合同管理等方面有待进一步加强。</w:t>
      </w:r>
      <w:r>
        <w:rPr>
          <w:rFonts w:hint="eastAsia" w:ascii="仿宋_GB2312" w:hAnsi="宋体" w:eastAsia="仿宋_GB2312" w:cs="仿宋"/>
          <w:b/>
          <w:sz w:val="32"/>
          <w:szCs w:val="32"/>
        </w:rPr>
        <w:t>该指标分值25分，评价得分22.8分，得分率为91.2%。</w:t>
      </w:r>
    </w:p>
    <w:p>
      <w:pPr>
        <w:adjustRightInd w:val="0"/>
        <w:spacing w:line="360" w:lineRule="auto"/>
        <w:ind w:firstLine="561"/>
        <w:rPr>
          <w:rFonts w:ascii="仿宋_GB2312" w:eastAsia="仿宋_GB2312" w:hAnsiTheme="minorEastAsia"/>
          <w:sz w:val="32"/>
          <w:szCs w:val="32"/>
        </w:rPr>
      </w:pPr>
      <w:r>
        <w:rPr>
          <w:rFonts w:hint="eastAsia" w:ascii="仿宋_GB2312" w:eastAsia="仿宋_GB2312" w:hAnsiTheme="minorEastAsia"/>
          <w:sz w:val="32"/>
          <w:szCs w:val="32"/>
        </w:rPr>
        <w:t>（三）项目产出情况</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color w:val="000000"/>
          <w:kern w:val="0"/>
          <w:sz w:val="32"/>
          <w:szCs w:val="32"/>
        </w:rPr>
        <w:t>项目实施进度按工作计划进行，未出现任何播出事故，</w:t>
      </w:r>
      <w:r>
        <w:rPr>
          <w:rFonts w:hint="eastAsia" w:ascii="仿宋_GB2312" w:hAnsi="仿宋" w:eastAsia="仿宋_GB2312"/>
          <w:kern w:val="0"/>
          <w:sz w:val="32"/>
          <w:szCs w:val="32"/>
        </w:rPr>
        <w:t>收视效果总体平稳</w:t>
      </w:r>
      <w:r>
        <w:rPr>
          <w:rFonts w:hint="eastAsia" w:ascii="仿宋_GB2312" w:hAnsi="仿宋" w:eastAsia="仿宋_GB2312"/>
          <w:color w:val="000000"/>
          <w:kern w:val="0"/>
          <w:sz w:val="32"/>
          <w:szCs w:val="32"/>
        </w:rPr>
        <w:t>。2018年至今共制作节目229期，总时长4580分钟，其中2021年制作52期，时长1040分钟。</w:t>
      </w:r>
      <w:r>
        <w:rPr>
          <w:rFonts w:hint="eastAsia" w:ascii="仿宋_GB2312" w:hAnsi="仿宋" w:eastAsia="仿宋_GB2312" w:cs="仿宋"/>
          <w:sz w:val="32"/>
          <w:szCs w:val="32"/>
        </w:rPr>
        <w:t>此外，为扩大宣传面，项目单位开发制作了清风北京电视栏目衍生产品。以栏目为依托，项目单位每年都有针对性的制作下发节目光盘册，以充实基层廉政学习材料，如制作发行半年节目季刊系列、</w:t>
      </w:r>
      <w:r>
        <w:rPr>
          <w:rFonts w:hint="eastAsia" w:ascii="仿宋_GB2312" w:hAnsi="仿宋" w:eastAsia="仿宋_GB2312"/>
          <w:sz w:val="32"/>
          <w:szCs w:val="32"/>
        </w:rPr>
        <w:t>不忘初心系列、家书见初心系列、党史中的清廉故事系列、清风北京“以案为鉴 以案促改”系列等DVD光盘册，总计近6000余套。另外与方正出版社出版发行《初心 使命 家书》和《党史中的清廉故事》图书，受到了广大党员干部的一致好评。</w:t>
      </w:r>
      <w:r>
        <w:rPr>
          <w:rFonts w:hint="eastAsia" w:ascii="仿宋_GB2312" w:hAnsi="仿宋" w:eastAsia="仿宋_GB2312" w:cs="仿宋"/>
          <w:sz w:val="32"/>
          <w:szCs w:val="32"/>
        </w:rPr>
        <w:t>为适应新媒体传播，每年保持生产节目短视频</w:t>
      </w:r>
      <w:r>
        <w:rPr>
          <w:rFonts w:hint="eastAsia" w:ascii="仿宋_GB2312" w:hAnsi="仿宋" w:eastAsia="仿宋_GB2312"/>
          <w:color w:val="000000"/>
          <w:kern w:val="0"/>
          <w:sz w:val="32"/>
          <w:szCs w:val="32"/>
        </w:rPr>
        <w:t>80个以上，生产节目以外短视频近40个，微电影1个。但个别</w:t>
      </w:r>
      <w:r>
        <w:rPr>
          <w:rFonts w:hint="eastAsia" w:ascii="仿宋_GB2312" w:hAnsi="仿宋" w:eastAsia="仿宋_GB2312"/>
          <w:kern w:val="0"/>
          <w:sz w:val="32"/>
          <w:szCs w:val="32"/>
        </w:rPr>
        <w:t>产出指标实际完成值未达到年度计划值，如</w:t>
      </w:r>
      <w:r>
        <w:rPr>
          <w:rFonts w:hint="eastAsia" w:ascii="仿宋_GB2312" w:hAnsi="宋体" w:eastAsia="仿宋_GB2312" w:cs="宋体"/>
          <w:bCs/>
          <w:sz w:val="32"/>
          <w:szCs w:val="32"/>
        </w:rPr>
        <w:t>平均收视率0.0287未达到预期。</w:t>
      </w:r>
      <w:r>
        <w:rPr>
          <w:rFonts w:hint="eastAsia" w:ascii="仿宋_GB2312" w:hAnsi="宋体" w:eastAsia="仿宋_GB2312" w:cs="仿宋"/>
          <w:b/>
          <w:sz w:val="32"/>
          <w:szCs w:val="32"/>
        </w:rPr>
        <w:t>该指标分值40分，评价得分37.6分，得分率为94%。</w:t>
      </w:r>
    </w:p>
    <w:p>
      <w:pPr>
        <w:adjustRightInd w:val="0"/>
        <w:spacing w:line="360" w:lineRule="auto"/>
        <w:ind w:firstLine="561"/>
        <w:rPr>
          <w:rFonts w:ascii="仿宋_GB2312" w:eastAsia="仿宋_GB2312" w:hAnsiTheme="minorEastAsia"/>
          <w:sz w:val="32"/>
          <w:szCs w:val="32"/>
        </w:rPr>
      </w:pPr>
      <w:r>
        <w:rPr>
          <w:rFonts w:hint="eastAsia" w:ascii="仿宋_GB2312" w:eastAsia="仿宋_GB2312" w:hAnsiTheme="minorEastAsia"/>
          <w:sz w:val="32"/>
          <w:szCs w:val="32"/>
        </w:rPr>
        <w:t>（四）项目效益情况</w:t>
      </w:r>
    </w:p>
    <w:p>
      <w:pPr>
        <w:adjustRightInd w:val="0"/>
        <w:snapToGrid w:val="0"/>
        <w:spacing w:line="360" w:lineRule="auto"/>
        <w:ind w:firstLine="640" w:firstLineChars="200"/>
        <w:rPr>
          <w:rFonts w:ascii="仿宋_GB2312" w:hAnsi="仿宋" w:eastAsia="仿宋_GB2312"/>
          <w:b/>
          <w:bCs/>
          <w:color w:val="FF0000"/>
          <w:kern w:val="0"/>
          <w:sz w:val="32"/>
          <w:szCs w:val="32"/>
        </w:rPr>
      </w:pPr>
      <w:r>
        <w:rPr>
          <w:rFonts w:hint="eastAsia" w:ascii="仿宋_GB2312" w:hAnsi="仿宋" w:eastAsia="仿宋_GB2312" w:cs="仿宋"/>
          <w:sz w:val="32"/>
          <w:szCs w:val="32"/>
        </w:rPr>
        <w:t>《清风北京》栏目自开播以来，不断创新节目表现形式，开拓新的宣传渠道，形成了以清风北京电视为中心，在</w:t>
      </w:r>
      <w:r>
        <w:rPr>
          <w:rFonts w:hint="eastAsia" w:ascii="仿宋_GB2312" w:hAnsi="仿宋" w:eastAsia="仿宋_GB2312"/>
          <w:color w:val="000000"/>
          <w:kern w:val="0"/>
          <w:sz w:val="32"/>
          <w:szCs w:val="32"/>
        </w:rPr>
        <w:t>中央纪委国家监委网站、北京纪检监察网、</w:t>
      </w:r>
      <w:r>
        <w:rPr>
          <w:rFonts w:hint="eastAsia" w:ascii="仿宋_GB2312" w:hAnsi="仿宋" w:eastAsia="仿宋_GB2312" w:cs="仿宋"/>
          <w:sz w:val="32"/>
          <w:szCs w:val="32"/>
        </w:rPr>
        <w:t>学习强国、今日头条、北京日报App、清风北京微信公众号等多个传播平台的二次传播，</w:t>
      </w:r>
      <w:r>
        <w:rPr>
          <w:rFonts w:hint="eastAsia" w:ascii="仿宋_GB2312" w:hAnsi="仿宋" w:eastAsia="仿宋_GB2312"/>
          <w:color w:val="000000"/>
          <w:kern w:val="0"/>
          <w:sz w:val="32"/>
          <w:szCs w:val="32"/>
        </w:rPr>
        <w:t>成为市纪委监委“清风北京”传播矩阵的有效组成部分</w:t>
      </w:r>
      <w:r>
        <w:rPr>
          <w:rFonts w:hint="eastAsia" w:ascii="仿宋_GB2312" w:hAnsi="仿宋" w:eastAsia="仿宋_GB2312" w:cs="仿宋"/>
          <w:sz w:val="32"/>
          <w:szCs w:val="32"/>
        </w:rPr>
        <w:t>。</w:t>
      </w:r>
      <w:r>
        <w:rPr>
          <w:rFonts w:hint="eastAsia" w:ascii="仿宋_GB2312" w:hAnsi="仿宋" w:eastAsia="仿宋_GB2312"/>
          <w:color w:val="000000"/>
          <w:kern w:val="0"/>
          <w:sz w:val="32"/>
          <w:szCs w:val="32"/>
        </w:rPr>
        <w:t>节目多次被评为北京市</w:t>
      </w:r>
      <w:r>
        <w:rPr>
          <w:rFonts w:hint="eastAsia" w:ascii="仿宋_GB2312" w:hAnsi="仿宋" w:eastAsia="仿宋_GB2312" w:cs="仿宋"/>
          <w:sz w:val="32"/>
          <w:szCs w:val="32"/>
        </w:rPr>
        <w:t>年度优秀广播电视节目，多次受到北京市新闻出版广电局收听收视报告表扬，北京电视台新闻中心编前会也对栏目在走基层方面给予了多次肯定评价。</w:t>
      </w:r>
      <w:r>
        <w:rPr>
          <w:rFonts w:hint="eastAsia" w:ascii="仿宋_GB2312" w:hAnsi="仿宋" w:eastAsia="仿宋_GB2312"/>
          <w:color w:val="000000"/>
          <w:kern w:val="0"/>
          <w:sz w:val="32"/>
          <w:szCs w:val="32"/>
        </w:rPr>
        <w:t>2021年，栏目播出时间进行了调整，由原来的每周六播出，改为了每周五首播，每周日重播，进一步扩大了受众人群。节目的开播提高了人民群众对纪检监察工作的认识，总体效果良好。</w:t>
      </w:r>
      <w:r>
        <w:rPr>
          <w:rFonts w:hint="eastAsia" w:ascii="仿宋_GB2312" w:hAnsi="宋体" w:eastAsia="仿宋_GB2312" w:cs="宋体"/>
          <w:bCs/>
          <w:sz w:val="32"/>
          <w:szCs w:val="32"/>
        </w:rPr>
        <w:t>但项目单位对绩效成果展示不够充分，且未提供服务对象满意度调查资料。</w:t>
      </w:r>
      <w:r>
        <w:rPr>
          <w:rFonts w:hint="eastAsia" w:ascii="仿宋_GB2312" w:hAnsi="宋体" w:eastAsia="仿宋_GB2312" w:cs="仿宋"/>
          <w:b/>
          <w:sz w:val="32"/>
          <w:szCs w:val="32"/>
        </w:rPr>
        <w:t>该指标分值20分，评价得分17.56分，得分率为87.8%。</w:t>
      </w:r>
    </w:p>
    <w:p>
      <w:pPr>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五、存在的主要问题</w:t>
      </w:r>
    </w:p>
    <w:p>
      <w:pPr>
        <w:spacing w:line="360" w:lineRule="auto"/>
        <w:ind w:left="482"/>
        <w:jc w:val="left"/>
        <w:rPr>
          <w:rFonts w:ascii="楷体_GB2312" w:hAnsi="楷体" w:eastAsia="楷体_GB2312" w:cs="仿宋_GB2312"/>
          <w:sz w:val="32"/>
          <w:szCs w:val="32"/>
        </w:rPr>
      </w:pPr>
      <w:r>
        <w:rPr>
          <w:rFonts w:hint="eastAsia" w:ascii="楷体_GB2312" w:hAnsi="楷体" w:eastAsia="楷体_GB2312" w:cs="仿宋_GB2312"/>
          <w:sz w:val="32"/>
          <w:szCs w:val="32"/>
        </w:rPr>
        <w:t>（一）项目决策资料提供不完整。</w:t>
      </w:r>
    </w:p>
    <w:p>
      <w:pPr>
        <w:tabs>
          <w:tab w:val="left" w:pos="312"/>
        </w:tabs>
        <w:spacing w:line="360" w:lineRule="auto"/>
        <w:ind w:firstLine="640" w:firstLineChars="200"/>
        <w:jc w:val="left"/>
        <w:rPr>
          <w:rFonts w:ascii="仿宋_GB2312" w:hAnsi="宋体" w:eastAsia="仿宋_GB2312" w:cs="宋体"/>
          <w:bCs/>
          <w:sz w:val="32"/>
          <w:szCs w:val="32"/>
        </w:rPr>
      </w:pPr>
      <w:r>
        <w:rPr>
          <w:rFonts w:hint="eastAsia" w:ascii="仿宋_GB2312" w:hAnsi="宋体" w:eastAsia="仿宋_GB2312" w:cs="宋体"/>
          <w:bCs/>
          <w:sz w:val="32"/>
          <w:szCs w:val="32"/>
        </w:rPr>
        <w:t>作为延续性项目，对以往实施成效、存在的不足缺少梳理和总结，对节目收视率、受众反馈、传播矩阵宣传效果、融媒体的发展趋势等缺少分析，对拓展“清风北京”传播矩阵计划缺乏必要说明。且预算编制的依据及第三方承制方的遴选决策资料未提供。</w:t>
      </w:r>
    </w:p>
    <w:p>
      <w:pPr>
        <w:spacing w:line="360" w:lineRule="auto"/>
        <w:ind w:firstLine="640" w:firstLineChars="200"/>
        <w:outlineLvl w:val="1"/>
        <w:rPr>
          <w:rFonts w:ascii="楷体_GB2312" w:hAnsi="楷体" w:eastAsia="楷体_GB2312" w:cs="仿宋_GB2312"/>
          <w:sz w:val="32"/>
          <w:szCs w:val="32"/>
        </w:rPr>
      </w:pPr>
      <w:r>
        <w:rPr>
          <w:rFonts w:hint="eastAsia" w:ascii="楷体_GB2312" w:hAnsi="楷体" w:eastAsia="楷体_GB2312" w:cs="仿宋_GB2312"/>
          <w:sz w:val="32"/>
          <w:szCs w:val="32"/>
        </w:rPr>
        <w:t>（二）绩效指标设置的科学性有待进一步提升</w:t>
      </w:r>
    </w:p>
    <w:p>
      <w:pPr>
        <w:tabs>
          <w:tab w:val="left" w:pos="312"/>
        </w:tabs>
        <w:spacing w:line="360" w:lineRule="auto"/>
        <w:ind w:firstLine="640" w:firstLineChars="200"/>
        <w:jc w:val="left"/>
        <w:rPr>
          <w:rFonts w:ascii="仿宋_GB2312" w:hAnsi="宋体" w:eastAsia="仿宋_GB2312" w:cs="宋体"/>
          <w:bCs/>
          <w:sz w:val="32"/>
          <w:szCs w:val="32"/>
        </w:rPr>
      </w:pPr>
      <w:r>
        <w:rPr>
          <w:rFonts w:hint="eastAsia" w:ascii="仿宋_GB2312" w:hAnsi="宋体" w:eastAsia="仿宋_GB2312" w:cs="宋体"/>
          <w:bCs/>
          <w:sz w:val="32"/>
          <w:szCs w:val="32"/>
        </w:rPr>
        <w:t>数量指标的内容为“制作节目52期、每期时长20分钟；制作相关短视频3-5个。宣传渠道12个”，质量指标设置为“节目收视率0.15以上”，两者不完全匹配，未根据产出数量指标设置质量指标；进度指标未分解；效益指标较笼统，不完整；可持续影响指标和服务对象满意度指标未设置。</w:t>
      </w:r>
    </w:p>
    <w:p>
      <w:pPr>
        <w:spacing w:line="360" w:lineRule="auto"/>
        <w:ind w:firstLine="640" w:firstLineChars="200"/>
        <w:outlineLvl w:val="1"/>
        <w:rPr>
          <w:rFonts w:ascii="楷体_GB2312" w:hAnsi="楷体" w:eastAsia="楷体_GB2312" w:cs="仿宋_GB2312"/>
          <w:sz w:val="32"/>
          <w:szCs w:val="32"/>
        </w:rPr>
      </w:pPr>
      <w:r>
        <w:rPr>
          <w:rFonts w:hint="eastAsia" w:ascii="楷体_GB2312" w:hAnsi="楷体" w:eastAsia="楷体_GB2312" w:cs="仿宋_GB2312"/>
          <w:sz w:val="32"/>
          <w:szCs w:val="32"/>
        </w:rPr>
        <w:t>（三）项目实施的过程管理存在一定的薄弱环节</w:t>
      </w:r>
    </w:p>
    <w:p>
      <w:pPr>
        <w:spacing w:line="360" w:lineRule="auto"/>
        <w:ind w:firstLine="640" w:firstLineChars="200"/>
        <w:jc w:val="left"/>
        <w:rPr>
          <w:rFonts w:ascii="仿宋_GB2312" w:hAnsi="宋体" w:eastAsia="仿宋_GB2312" w:cs="宋体"/>
          <w:bCs/>
          <w:sz w:val="32"/>
          <w:szCs w:val="32"/>
        </w:rPr>
      </w:pPr>
      <w:r>
        <w:rPr>
          <w:rFonts w:hint="eastAsia" w:ascii="仿宋_GB2312" w:hAnsi="宋体" w:eastAsia="仿宋_GB2312" w:cs="宋体"/>
          <w:bCs/>
          <w:sz w:val="32"/>
          <w:szCs w:val="32"/>
        </w:rPr>
        <w:t>一是对第三方的服务标准、质量控制、履约验收机制等不够明确。二是合同签署不够规范。合同价款与预算不符，合同金额493.96万元高于申报金额493万元，且缺少服务起止日；三是过程管理留痕资料不全面，选题、审核资料不完整。</w:t>
      </w:r>
    </w:p>
    <w:p>
      <w:pPr>
        <w:spacing w:line="360" w:lineRule="auto"/>
        <w:ind w:firstLine="640" w:firstLineChars="200"/>
        <w:outlineLvl w:val="1"/>
        <w:rPr>
          <w:rFonts w:ascii="楷体_GB2312" w:hAnsi="楷体" w:eastAsia="楷体_GB2312" w:cs="仿宋_GB2312"/>
          <w:sz w:val="32"/>
          <w:szCs w:val="32"/>
        </w:rPr>
      </w:pPr>
      <w:r>
        <w:rPr>
          <w:rFonts w:hint="eastAsia" w:ascii="楷体_GB2312" w:hAnsi="楷体" w:eastAsia="楷体_GB2312" w:cs="仿宋_GB2312"/>
          <w:sz w:val="32"/>
          <w:szCs w:val="32"/>
        </w:rPr>
        <w:t>（四）项目绩效成果展现不够充分和完整</w:t>
      </w:r>
    </w:p>
    <w:p>
      <w:pPr>
        <w:spacing w:line="360"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项目的绩效资料搜集整理与总结不够充分，绩效报告对绩效指标完成情况、与以往年度的比较分析、同类节目对比等绩效挖掘不够深入。个别产出指标实际完成值未达到年度计划值，如电视节目转播率是否达到90%以上不明确；多期的收视率</w:t>
      </w:r>
      <w:r>
        <w:rPr>
          <w:rFonts w:hint="eastAsia" w:ascii="仿宋_GB2312" w:hAnsi="宋体" w:eastAsia="仿宋_GB2312" w:cs="宋体"/>
          <w:sz w:val="32"/>
          <w:szCs w:val="32"/>
          <w:lang w:eastAsia="zh-CN"/>
        </w:rPr>
        <w:t>低于</w:t>
      </w:r>
      <w:bookmarkStart w:id="8" w:name="_GoBack"/>
      <w:bookmarkEnd w:id="8"/>
      <w:r>
        <w:rPr>
          <w:rFonts w:hint="eastAsia" w:ascii="仿宋_GB2312" w:hAnsi="宋体" w:eastAsia="仿宋_GB2312" w:cs="宋体"/>
          <w:sz w:val="32"/>
          <w:szCs w:val="32"/>
          <w:lang w:val="en-US" w:eastAsia="zh-CN"/>
        </w:rPr>
        <w:t>0.01</w:t>
      </w:r>
      <w:r>
        <w:rPr>
          <w:rFonts w:hint="eastAsia" w:ascii="仿宋_GB2312" w:hAnsi="宋体" w:eastAsia="仿宋_GB2312" w:cs="宋体"/>
          <w:sz w:val="32"/>
          <w:szCs w:val="32"/>
        </w:rPr>
        <w:t>，平均收视率0.0287未达到预期。支撑项目实施绩效的有效资料不足，12个宣传渠道播放、受众资料未提供，且未提供服务对象满意度调查资料。</w:t>
      </w:r>
    </w:p>
    <w:p>
      <w:pPr>
        <w:spacing w:line="360" w:lineRule="auto"/>
        <w:ind w:firstLine="640" w:firstLineChars="200"/>
        <w:outlineLvl w:val="0"/>
        <w:rPr>
          <w:rFonts w:ascii="黑体" w:hAnsi="黑体" w:eastAsia="黑体" w:cs="仿宋_GB2312"/>
          <w:sz w:val="32"/>
          <w:szCs w:val="32"/>
        </w:rPr>
      </w:pPr>
      <w:r>
        <w:rPr>
          <w:rFonts w:hint="eastAsia" w:ascii="黑体" w:hAnsi="黑体" w:eastAsia="黑体" w:cs="仿宋_GB2312"/>
          <w:sz w:val="32"/>
          <w:szCs w:val="32"/>
        </w:rPr>
        <w:t>六、相关建议</w:t>
      </w:r>
    </w:p>
    <w:p>
      <w:pPr>
        <w:tabs>
          <w:tab w:val="left" w:pos="312"/>
        </w:tabs>
        <w:adjustRightInd w:val="0"/>
        <w:spacing w:line="360" w:lineRule="auto"/>
        <w:ind w:firstLine="640" w:firstLineChars="200"/>
        <w:jc w:val="left"/>
        <w:rPr>
          <w:rFonts w:ascii="楷体_GB2312" w:hAnsi="楷体" w:eastAsia="楷体_GB2312" w:cs="仿宋_GB2312"/>
          <w:sz w:val="32"/>
          <w:szCs w:val="32"/>
        </w:rPr>
      </w:pPr>
      <w:r>
        <w:rPr>
          <w:rFonts w:hint="eastAsia" w:ascii="楷体_GB2312" w:hAnsi="楷体" w:eastAsia="楷体_GB2312" w:cs="仿宋_GB2312"/>
          <w:sz w:val="32"/>
          <w:szCs w:val="32"/>
        </w:rPr>
        <w:t>（一）加强需求调研，进一步提升项目决策和实施的有效性</w:t>
      </w:r>
    </w:p>
    <w:p>
      <w:pPr>
        <w:tabs>
          <w:tab w:val="left" w:pos="312"/>
        </w:tabs>
        <w:adjustRightInd w:val="0"/>
        <w:spacing w:line="360" w:lineRule="auto"/>
        <w:ind w:firstLine="640" w:firstLineChars="200"/>
        <w:jc w:val="left"/>
        <w:rPr>
          <w:rFonts w:ascii="仿宋_GB2312" w:hAnsi="宋体" w:eastAsia="仿宋_GB2312" w:cs="宋体"/>
          <w:bCs/>
          <w:sz w:val="32"/>
          <w:szCs w:val="32"/>
        </w:rPr>
      </w:pPr>
      <w:r>
        <w:rPr>
          <w:rFonts w:hint="eastAsia" w:ascii="仿宋_GB2312" w:hAnsi="宋体" w:eastAsia="仿宋_GB2312" w:cs="宋体"/>
          <w:bCs/>
          <w:sz w:val="32"/>
          <w:szCs w:val="32"/>
        </w:rPr>
        <w:t>加强受众分析和需求调研，了解目标受众的收视习惯和媒介使用习惯，理性分析新媒体环境下，电视媒体是否仍是目标受众最常使用的媒介，结合年度工作重点，进一步明确项目定位、节目形式与内容选取、宣传方式、宣传媒介等，提高立项决策的科学性。</w:t>
      </w:r>
    </w:p>
    <w:p>
      <w:pPr>
        <w:tabs>
          <w:tab w:val="left" w:pos="312"/>
        </w:tabs>
        <w:adjustRightInd w:val="0"/>
        <w:spacing w:line="360" w:lineRule="auto"/>
        <w:ind w:firstLine="640" w:firstLineChars="200"/>
        <w:jc w:val="left"/>
        <w:rPr>
          <w:rFonts w:ascii="仿宋_GB2312" w:hAnsi="宋体" w:eastAsia="仿宋_GB2312" w:cs="宋体"/>
          <w:bCs/>
          <w:sz w:val="32"/>
          <w:szCs w:val="32"/>
        </w:rPr>
      </w:pPr>
      <w:r>
        <w:rPr>
          <w:rFonts w:hint="eastAsia" w:ascii="仿宋_GB2312" w:hAnsi="宋体" w:eastAsia="仿宋_GB2312" w:cs="宋体"/>
          <w:bCs/>
          <w:sz w:val="32"/>
          <w:szCs w:val="32"/>
        </w:rPr>
        <w:t>在节目制作上，进一步丰富选题，优化板块结构，将新闻资讯类与专题类相结合，历史挖掘与当下热点相结合，提升话题性和实效性；加强叙事方式、表现形式、拍摄手法和镜头语言的风格构建，提升艺术性和辨识度，以带动收视率和传播效果，扩大节目的影响；进一步进行资源整合，完善全媒体传播矩阵，增加联合与合作，同一期节目可根据内容选择不同媒介进行再剪辑投放，形成立体传播，构建主动传播。</w:t>
      </w:r>
    </w:p>
    <w:p>
      <w:pPr>
        <w:spacing w:line="360" w:lineRule="auto"/>
        <w:ind w:firstLine="624" w:firstLineChars="195"/>
        <w:jc w:val="left"/>
        <w:rPr>
          <w:rFonts w:ascii="楷体_GB2312" w:hAnsi="楷体" w:eastAsia="楷体_GB2312" w:cs="仿宋_GB2312"/>
          <w:sz w:val="32"/>
          <w:szCs w:val="32"/>
        </w:rPr>
      </w:pPr>
      <w:r>
        <w:rPr>
          <w:rFonts w:hint="eastAsia" w:ascii="楷体_GB2312" w:hAnsi="楷体" w:eastAsia="楷体_GB2312" w:cs="仿宋_GB2312"/>
          <w:sz w:val="32"/>
          <w:szCs w:val="32"/>
        </w:rPr>
        <w:t>（二）增强绩效意识，进一步提高项目预算申报工作效率</w:t>
      </w:r>
    </w:p>
    <w:p>
      <w:pPr>
        <w:tabs>
          <w:tab w:val="left" w:pos="312"/>
        </w:tabs>
        <w:adjustRightInd w:val="0"/>
        <w:spacing w:line="360" w:lineRule="auto"/>
        <w:ind w:firstLine="640" w:firstLineChars="200"/>
        <w:jc w:val="left"/>
        <w:rPr>
          <w:rFonts w:ascii="仿宋_GB2312" w:hAnsi="宋体" w:eastAsia="仿宋_GB2312" w:cs="宋体"/>
          <w:bCs/>
          <w:sz w:val="32"/>
          <w:szCs w:val="32"/>
        </w:rPr>
      </w:pPr>
      <w:r>
        <w:rPr>
          <w:rFonts w:hint="eastAsia" w:ascii="仿宋_GB2312" w:hAnsi="宋体" w:eastAsia="仿宋_GB2312" w:cs="宋体"/>
          <w:bCs/>
          <w:sz w:val="32"/>
          <w:szCs w:val="32"/>
        </w:rPr>
        <w:t>加强投入产出分析，</w:t>
      </w:r>
      <w:r>
        <w:rPr>
          <w:rFonts w:hint="eastAsia" w:ascii="仿宋_GB2312" w:hAnsi="宋体" w:eastAsia="仿宋_GB2312" w:cs="宋体"/>
          <w:sz w:val="32"/>
          <w:szCs w:val="32"/>
        </w:rPr>
        <w:t>合理测算项目成本构成</w:t>
      </w:r>
      <w:r>
        <w:rPr>
          <w:rFonts w:hint="eastAsia" w:ascii="仿宋_GB2312" w:hAnsi="宋体" w:eastAsia="仿宋_GB2312" w:cs="宋体"/>
          <w:bCs/>
          <w:sz w:val="32"/>
          <w:szCs w:val="32"/>
        </w:rPr>
        <w:t>，明确预算依据和预算审核机制，提高预算编制的科学性</w:t>
      </w:r>
      <w:r>
        <w:rPr>
          <w:rFonts w:hint="eastAsia" w:ascii="仿宋_GB2312" w:hAnsi="宋体" w:eastAsia="仿宋_GB2312" w:cs="宋体"/>
          <w:sz w:val="32"/>
          <w:szCs w:val="32"/>
        </w:rPr>
        <w:t>，加强成本控制，规范、合规申报、使用财政资金。</w:t>
      </w:r>
    </w:p>
    <w:p>
      <w:pPr>
        <w:tabs>
          <w:tab w:val="left" w:pos="312"/>
        </w:tabs>
        <w:adjustRightInd w:val="0"/>
        <w:spacing w:line="360" w:lineRule="auto"/>
        <w:ind w:firstLine="640" w:firstLineChars="200"/>
        <w:jc w:val="left"/>
        <w:rPr>
          <w:rFonts w:ascii="仿宋_GB2312" w:hAnsi="宋体" w:eastAsia="仿宋_GB2312" w:cs="宋体"/>
          <w:bCs/>
          <w:sz w:val="32"/>
          <w:szCs w:val="32"/>
        </w:rPr>
      </w:pPr>
      <w:r>
        <w:rPr>
          <w:rFonts w:hint="eastAsia" w:ascii="仿宋_GB2312" w:hAnsi="宋体" w:eastAsia="仿宋_GB2312" w:cs="宋体"/>
          <w:bCs/>
          <w:sz w:val="32"/>
          <w:szCs w:val="32"/>
        </w:rPr>
        <w:t>科学设置绩效目标，细化、量化绩效指标及指标值。参照同时段和同类节目确定科学的收视率指标，并将满意度和认知度调查落到实处，以利于绩效管理和评价。</w:t>
      </w:r>
    </w:p>
    <w:p>
      <w:pPr>
        <w:spacing w:line="360" w:lineRule="auto"/>
        <w:ind w:firstLine="640" w:firstLineChars="200"/>
        <w:outlineLvl w:val="1"/>
        <w:rPr>
          <w:rFonts w:ascii="楷体_GB2312" w:hAnsi="楷体" w:eastAsia="楷体_GB2312" w:cs="仿宋_GB2312"/>
          <w:sz w:val="32"/>
          <w:szCs w:val="32"/>
        </w:rPr>
      </w:pPr>
      <w:r>
        <w:rPr>
          <w:rFonts w:hint="eastAsia" w:ascii="楷体_GB2312" w:hAnsi="楷体" w:eastAsia="楷体_GB2312" w:cs="仿宋_GB2312"/>
          <w:sz w:val="32"/>
          <w:szCs w:val="32"/>
        </w:rPr>
        <w:t>（三）加强项目全过程管理，进一步提高项目绩效管理水平</w:t>
      </w:r>
    </w:p>
    <w:p>
      <w:pPr>
        <w:tabs>
          <w:tab w:val="left" w:pos="312"/>
        </w:tabs>
        <w:spacing w:line="360"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完善项目实施方案，细化责任分工，注意落实主体监督管理责任，明确项目过程监管机制，</w:t>
      </w:r>
      <w:r>
        <w:rPr>
          <w:rFonts w:hint="eastAsia" w:ascii="仿宋_GB2312" w:hAnsi="宋体" w:eastAsia="仿宋_GB2312" w:cs="宋体"/>
          <w:bCs/>
          <w:sz w:val="32"/>
          <w:szCs w:val="32"/>
        </w:rPr>
        <w:t>有效指导和约束项目的实施。完善相关管理制度，</w:t>
      </w:r>
      <w:r>
        <w:rPr>
          <w:rFonts w:hint="eastAsia" w:ascii="仿宋_GB2312" w:hAnsi="宋体" w:eastAsia="仿宋_GB2312" w:cs="宋体"/>
          <w:sz w:val="32"/>
          <w:szCs w:val="32"/>
        </w:rPr>
        <w:t>提高风险防控意识，为项目的实施提供保障。</w:t>
      </w:r>
    </w:p>
    <w:p>
      <w:pPr>
        <w:tabs>
          <w:tab w:val="left" w:pos="312"/>
        </w:tabs>
        <w:spacing w:line="360"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完善服务方（节目承制方）遴选程序，规范</w:t>
      </w:r>
      <w:r>
        <w:rPr>
          <w:rFonts w:hint="eastAsia" w:ascii="仿宋_GB2312" w:hAnsi="宋体" w:eastAsia="仿宋_GB2312" w:cs="宋体"/>
          <w:bCs/>
          <w:sz w:val="32"/>
          <w:szCs w:val="32"/>
        </w:rPr>
        <w:t>对第三方的服务标准、质量控制、履约验收</w:t>
      </w:r>
      <w:r>
        <w:rPr>
          <w:rFonts w:hint="eastAsia" w:ascii="仿宋_GB2312" w:hAnsi="宋体" w:eastAsia="仿宋_GB2312" w:cs="宋体"/>
          <w:sz w:val="32"/>
          <w:szCs w:val="32"/>
        </w:rPr>
        <w:t>机制。</w:t>
      </w:r>
    </w:p>
    <w:p>
      <w:pPr>
        <w:spacing w:line="360"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加强合同管理，规范签署合同，完善合同支付、执行、验收等风险控制机制。</w:t>
      </w:r>
    </w:p>
    <w:p>
      <w:pPr>
        <w:tabs>
          <w:tab w:val="left" w:pos="312"/>
        </w:tabs>
        <w:adjustRightInd w:val="0"/>
        <w:spacing w:line="360" w:lineRule="auto"/>
        <w:ind w:firstLine="640" w:firstLineChars="200"/>
        <w:jc w:val="left"/>
        <w:rPr>
          <w:rFonts w:ascii="楷体_GB2312" w:hAnsi="楷体" w:eastAsia="楷体_GB2312" w:cs="仿宋_GB2312"/>
          <w:sz w:val="32"/>
          <w:szCs w:val="32"/>
        </w:rPr>
      </w:pPr>
      <w:r>
        <w:rPr>
          <w:rFonts w:hint="eastAsia" w:ascii="楷体_GB2312" w:hAnsi="楷体" w:eastAsia="楷体_GB2312" w:cs="仿宋_GB2312"/>
          <w:sz w:val="32"/>
          <w:szCs w:val="32"/>
        </w:rPr>
        <w:t>（四）注重项目绩效资料的归集和分析，充分展示项目绩效</w:t>
      </w:r>
    </w:p>
    <w:p>
      <w:pPr>
        <w:tabs>
          <w:tab w:val="left" w:pos="312"/>
        </w:tabs>
        <w:adjustRightInd w:val="0"/>
        <w:spacing w:line="360" w:lineRule="auto"/>
        <w:ind w:left="480"/>
        <w:jc w:val="left"/>
        <w:rPr>
          <w:rFonts w:ascii="仿宋_GB2312" w:hAnsi="宋体" w:eastAsia="仿宋_GB2312" w:cs="宋体"/>
          <w:bCs/>
          <w:sz w:val="32"/>
          <w:szCs w:val="32"/>
        </w:rPr>
      </w:pPr>
      <w:r>
        <w:rPr>
          <w:rFonts w:hint="eastAsia" w:ascii="仿宋_GB2312" w:hAnsi="宋体" w:eastAsia="仿宋_GB2312" w:cs="宋体"/>
          <w:bCs/>
          <w:sz w:val="32"/>
          <w:szCs w:val="32"/>
        </w:rPr>
        <w:t>重视项目实施过程绩效资料的归集，加强对相关数据和资料的</w:t>
      </w:r>
    </w:p>
    <w:p>
      <w:pPr>
        <w:tabs>
          <w:tab w:val="left" w:pos="312"/>
        </w:tabs>
        <w:adjustRightInd w:val="0"/>
        <w:spacing w:line="360" w:lineRule="auto"/>
        <w:jc w:val="left"/>
        <w:rPr>
          <w:rFonts w:ascii="仿宋_GB2312" w:hAnsi="宋体" w:eastAsia="仿宋_GB2312" w:cs="宋体"/>
          <w:bCs/>
          <w:sz w:val="32"/>
          <w:szCs w:val="32"/>
        </w:rPr>
      </w:pPr>
      <w:r>
        <w:rPr>
          <w:rFonts w:hint="eastAsia" w:ascii="仿宋_GB2312" w:hAnsi="宋体" w:eastAsia="仿宋_GB2312" w:cs="宋体"/>
          <w:bCs/>
          <w:sz w:val="32"/>
          <w:szCs w:val="32"/>
        </w:rPr>
        <w:t>汇总分析，全面展示项目绩效。规范绩效报告的撰写，加强对项目实施的经济性、效率性、效益性的深度分析，充分体现项目在清风北京传播矩阵中的重要性和不可替代性。</w:t>
      </w:r>
    </w:p>
    <w:p>
      <w:pPr>
        <w:tabs>
          <w:tab w:val="left" w:pos="312"/>
        </w:tabs>
        <w:adjustRightInd w:val="0"/>
        <w:spacing w:line="360" w:lineRule="auto"/>
        <w:ind w:firstLine="640" w:firstLineChars="200"/>
        <w:jc w:val="left"/>
        <w:rPr>
          <w:rFonts w:ascii="仿宋_GB2312" w:hAnsi="宋体" w:eastAsia="仿宋_GB2312" w:cs="宋体"/>
          <w:bCs/>
          <w:sz w:val="32"/>
          <w:szCs w:val="32"/>
        </w:rPr>
      </w:pPr>
      <w:r>
        <w:rPr>
          <w:rFonts w:hint="eastAsia" w:ascii="仿宋_GB2312" w:hAnsi="宋体" w:eastAsia="仿宋_GB2312" w:cs="宋体"/>
          <w:bCs/>
          <w:sz w:val="32"/>
          <w:szCs w:val="32"/>
        </w:rPr>
        <w:t>重视满意度调查，明确调查范围和调查对象，依据项目内容和管理需要科学设计调查问卷，加强统计分析和结果应用，为效果呈现提供支撑。</w:t>
      </w:r>
    </w:p>
    <w:p>
      <w:pPr>
        <w:spacing w:line="360" w:lineRule="auto"/>
        <w:rPr>
          <w:rFonts w:ascii="黑体" w:hAnsi="黑体" w:eastAsia="黑体"/>
          <w:b/>
          <w:sz w:val="32"/>
          <w:szCs w:val="32"/>
        </w:rPr>
      </w:pPr>
      <w:r>
        <w:rPr>
          <w:rFonts w:hint="eastAsia" w:ascii="仿宋_GB2312" w:eastAsia="仿宋_GB2312"/>
          <w:b/>
          <w:sz w:val="32"/>
          <w:szCs w:val="32"/>
        </w:rPr>
        <w:t xml:space="preserve">    </w:t>
      </w:r>
      <w:r>
        <w:rPr>
          <w:rFonts w:hint="eastAsia" w:ascii="黑体" w:hAnsi="黑体" w:eastAsia="黑体"/>
          <w:b/>
          <w:sz w:val="32"/>
          <w:szCs w:val="32"/>
        </w:rPr>
        <w:t>七、其他需要说明的问题</w:t>
      </w:r>
    </w:p>
    <w:p>
      <w:pPr>
        <w:spacing w:line="360" w:lineRule="auto"/>
        <w:ind w:firstLine="640"/>
        <w:rPr>
          <w:rFonts w:ascii="仿宋_GB2312" w:hAnsi="宋体" w:eastAsia="仿宋_GB2312"/>
          <w:sz w:val="32"/>
          <w:szCs w:val="32"/>
        </w:rPr>
      </w:pPr>
      <w:r>
        <w:rPr>
          <w:rFonts w:hint="eastAsia" w:ascii="仿宋_GB2312" w:hAnsi="宋体" w:eastAsia="仿宋_GB2312"/>
          <w:sz w:val="32"/>
          <w:szCs w:val="32"/>
        </w:rPr>
        <w:t>本次评价以项目单位提供的评价材料为基础。</w:t>
      </w:r>
    </w:p>
    <w:p>
      <w:pPr>
        <w:spacing w:line="360" w:lineRule="auto"/>
        <w:ind w:firstLine="640" w:firstLineChars="200"/>
        <w:rPr>
          <w:rFonts w:ascii="仿宋_GB2312" w:hAnsi="宋体" w:eastAsia="仿宋_GB2312"/>
          <w:sz w:val="32"/>
          <w:szCs w:val="32"/>
        </w:rPr>
      </w:pPr>
    </w:p>
    <w:p>
      <w:pPr>
        <w:spacing w:line="360" w:lineRule="auto"/>
        <w:ind w:firstLine="640" w:firstLineChars="200"/>
        <w:outlineLvl w:val="0"/>
        <w:rPr>
          <w:rFonts w:ascii="仿宋_GB2312" w:hAnsi="宋体" w:eastAsia="仿宋_GB2312"/>
          <w:bCs/>
          <w:color w:val="000000"/>
          <w:kern w:val="0"/>
          <w:sz w:val="32"/>
          <w:szCs w:val="32"/>
        </w:rPr>
      </w:pPr>
      <w:r>
        <w:rPr>
          <w:rFonts w:hint="eastAsia" w:ascii="仿宋_GB2312" w:eastAsia="仿宋_GB2312" w:hAnsiTheme="minorEastAsia"/>
          <w:bCs/>
          <w:sz w:val="32"/>
          <w:szCs w:val="32"/>
        </w:rPr>
        <w:t>附件1：</w:t>
      </w:r>
      <w:r>
        <w:rPr>
          <w:rFonts w:hint="eastAsia" w:ascii="仿宋_GB2312" w:hAnsi="Arial" w:eastAsia="仿宋_GB2312" w:cs="Arial"/>
          <w:kern w:val="0"/>
          <w:sz w:val="32"/>
          <w:szCs w:val="32"/>
        </w:rPr>
        <w:t>“</w:t>
      </w:r>
      <w:r>
        <w:rPr>
          <w:rFonts w:hint="eastAsia" w:ascii="仿宋_GB2312" w:eastAsia="仿宋_GB2312"/>
          <w:sz w:val="32"/>
          <w:szCs w:val="32"/>
        </w:rPr>
        <w:t>纪检监察电视栏目制作项目</w:t>
      </w:r>
      <w:r>
        <w:rPr>
          <w:rFonts w:hint="eastAsia" w:ascii="仿宋_GB2312" w:hAnsi="Arial" w:eastAsia="仿宋_GB2312" w:cs="Arial"/>
          <w:kern w:val="0"/>
          <w:sz w:val="32"/>
          <w:szCs w:val="32"/>
        </w:rPr>
        <w:t>”</w:t>
      </w:r>
      <w:r>
        <w:rPr>
          <w:rFonts w:hint="eastAsia" w:ascii="仿宋_GB2312" w:hAnsi="宋体" w:eastAsia="仿宋_GB2312"/>
          <w:bCs/>
          <w:kern w:val="0"/>
          <w:sz w:val="32"/>
          <w:szCs w:val="32"/>
        </w:rPr>
        <w:t>绩效目标申报</w:t>
      </w:r>
      <w:r>
        <w:rPr>
          <w:rFonts w:hint="eastAsia" w:ascii="仿宋_GB2312" w:hAnsi="宋体" w:eastAsia="仿宋_GB2312"/>
          <w:bCs/>
          <w:color w:val="000000"/>
          <w:kern w:val="0"/>
          <w:sz w:val="32"/>
          <w:szCs w:val="32"/>
        </w:rPr>
        <w:t>表</w:t>
      </w:r>
    </w:p>
    <w:p>
      <w:pPr>
        <w:pStyle w:val="29"/>
        <w:spacing w:line="360" w:lineRule="auto"/>
        <w:ind w:firstLine="640" w:firstLineChars="200"/>
        <w:jc w:val="left"/>
        <w:rPr>
          <w:rFonts w:ascii="仿宋_GB2312" w:hAnsiTheme="minorEastAsia"/>
          <w:sz w:val="32"/>
          <w:szCs w:val="32"/>
          <w:lang w:eastAsia="zh-CN"/>
        </w:rPr>
      </w:pPr>
      <w:r>
        <w:rPr>
          <w:rFonts w:hint="eastAsia" w:ascii="仿宋_GB2312" w:hAnsiTheme="minorEastAsia"/>
          <w:sz w:val="32"/>
          <w:szCs w:val="32"/>
          <w:lang w:eastAsia="zh-CN"/>
        </w:rPr>
        <w:t>附件2：</w:t>
      </w:r>
      <w:r>
        <w:rPr>
          <w:rFonts w:hint="eastAsia" w:ascii="仿宋_GB2312" w:hAnsi="Arial" w:cs="Arial"/>
          <w:kern w:val="0"/>
          <w:sz w:val="32"/>
          <w:szCs w:val="32"/>
          <w:lang w:eastAsia="zh-CN"/>
        </w:rPr>
        <w:t>“</w:t>
      </w:r>
      <w:r>
        <w:rPr>
          <w:rFonts w:hint="eastAsia" w:ascii="仿宋_GB2312"/>
          <w:sz w:val="32"/>
          <w:szCs w:val="32"/>
          <w:lang w:eastAsia="zh-CN"/>
        </w:rPr>
        <w:t>纪检监察电视栏目制作项目</w:t>
      </w:r>
      <w:r>
        <w:rPr>
          <w:rFonts w:hint="eastAsia" w:ascii="仿宋_GB2312" w:hAnsi="Arial" w:cs="Arial"/>
          <w:kern w:val="0"/>
          <w:sz w:val="32"/>
          <w:szCs w:val="32"/>
          <w:lang w:eastAsia="zh-CN"/>
        </w:rPr>
        <w:t>”</w:t>
      </w:r>
      <w:r>
        <w:rPr>
          <w:rFonts w:hint="eastAsia" w:ascii="仿宋_GB2312" w:hAnsiTheme="minorEastAsia"/>
          <w:sz w:val="32"/>
          <w:szCs w:val="32"/>
          <w:lang w:eastAsia="zh-CN"/>
        </w:rPr>
        <w:t>绩效评价指标体系及打分情况表</w:t>
      </w:r>
    </w:p>
    <w:p>
      <w:pPr>
        <w:spacing w:line="360" w:lineRule="auto"/>
        <w:rPr>
          <w:rFonts w:ascii="仿宋_GB2312" w:hAnsi="等线" w:eastAsia="仿宋_GB2312"/>
          <w:bCs/>
          <w:sz w:val="32"/>
          <w:szCs w:val="32"/>
        </w:rPr>
      </w:pPr>
      <w:r>
        <w:rPr>
          <w:rFonts w:ascii="仿宋_GB2312" w:hAnsi="等线" w:eastAsia="仿宋_GB2312"/>
          <w:bCs/>
          <w:sz w:val="32"/>
          <w:szCs w:val="32"/>
        </w:rPr>
        <w:br w:type="page"/>
      </w:r>
    </w:p>
    <w:p>
      <w:pPr>
        <w:spacing w:line="360" w:lineRule="auto"/>
        <w:rPr>
          <w:rFonts w:ascii="黑体" w:hAnsi="黑体" w:eastAsia="黑体"/>
          <w:sz w:val="32"/>
          <w:szCs w:val="32"/>
        </w:rPr>
      </w:pPr>
      <w:r>
        <w:rPr>
          <w:rFonts w:hint="eastAsia" w:ascii="黑体" w:hAnsi="黑体" w:eastAsia="黑体"/>
          <w:sz w:val="32"/>
          <w:szCs w:val="32"/>
        </w:rPr>
        <w:t>附件1：</w:t>
      </w:r>
    </w:p>
    <w:tbl>
      <w:tblPr>
        <w:tblStyle w:val="19"/>
        <w:tblW w:w="9923" w:type="dxa"/>
        <w:tblInd w:w="-176" w:type="dxa"/>
        <w:tblLayout w:type="autofit"/>
        <w:tblCellMar>
          <w:top w:w="0" w:type="dxa"/>
          <w:left w:w="108" w:type="dxa"/>
          <w:bottom w:w="0" w:type="dxa"/>
          <w:right w:w="108" w:type="dxa"/>
        </w:tblCellMar>
      </w:tblPr>
      <w:tblGrid>
        <w:gridCol w:w="725"/>
        <w:gridCol w:w="1001"/>
        <w:gridCol w:w="1469"/>
        <w:gridCol w:w="2054"/>
        <w:gridCol w:w="1586"/>
        <w:gridCol w:w="3088"/>
      </w:tblGrid>
      <w:tr>
        <w:tblPrEx>
          <w:tblCellMar>
            <w:top w:w="0" w:type="dxa"/>
            <w:left w:w="108" w:type="dxa"/>
            <w:bottom w:w="0" w:type="dxa"/>
            <w:right w:w="108" w:type="dxa"/>
          </w:tblCellMar>
        </w:tblPrEx>
        <w:trPr>
          <w:trHeight w:val="675" w:hRule="atLeast"/>
        </w:trPr>
        <w:tc>
          <w:tcPr>
            <w:tcW w:w="9923" w:type="dxa"/>
            <w:gridSpan w:val="6"/>
            <w:tcBorders>
              <w:top w:val="nil"/>
              <w:left w:val="nil"/>
              <w:bottom w:val="nil"/>
              <w:right w:val="nil"/>
            </w:tcBorders>
            <w:shd w:val="clear" w:color="auto" w:fill="auto"/>
            <w:vAlign w:val="center"/>
          </w:tcPr>
          <w:p>
            <w:pPr>
              <w:widowControl/>
              <w:jc w:val="center"/>
              <w:rPr>
                <w:b/>
                <w:bCs/>
                <w:kern w:val="0"/>
                <w:sz w:val="28"/>
                <w:szCs w:val="28"/>
              </w:rPr>
            </w:pPr>
            <w:r>
              <w:rPr>
                <w:rFonts w:hint="eastAsia" w:ascii="宋体" w:hAnsi="宋体"/>
                <w:b/>
                <w:bCs/>
                <w:kern w:val="0"/>
                <w:sz w:val="28"/>
                <w:szCs w:val="28"/>
              </w:rPr>
              <w:t>项目支出绩效目标申报表（机构运行保障类）</w:t>
            </w:r>
          </w:p>
        </w:tc>
      </w:tr>
      <w:tr>
        <w:tblPrEx>
          <w:tblCellMar>
            <w:top w:w="0" w:type="dxa"/>
            <w:left w:w="108" w:type="dxa"/>
            <w:bottom w:w="0" w:type="dxa"/>
            <w:right w:w="108" w:type="dxa"/>
          </w:tblCellMar>
        </w:tblPrEx>
        <w:trPr>
          <w:trHeight w:val="285" w:hRule="atLeast"/>
        </w:trPr>
        <w:tc>
          <w:tcPr>
            <w:tcW w:w="9923" w:type="dxa"/>
            <w:gridSpan w:val="6"/>
            <w:tcBorders>
              <w:top w:val="nil"/>
              <w:left w:val="nil"/>
              <w:bottom w:val="nil"/>
              <w:right w:val="nil"/>
            </w:tcBorders>
            <w:shd w:val="clear" w:color="auto" w:fill="auto"/>
            <w:vAlign w:val="center"/>
          </w:tcPr>
          <w:p>
            <w:pPr>
              <w:widowControl/>
              <w:jc w:val="center"/>
              <w:rPr>
                <w:kern w:val="0"/>
                <w:sz w:val="24"/>
              </w:rPr>
            </w:pPr>
            <w:r>
              <w:rPr>
                <w:rFonts w:hint="eastAsia" w:ascii="宋体" w:hAnsi="宋体"/>
                <w:kern w:val="0"/>
                <w:sz w:val="24"/>
              </w:rPr>
              <w:t>（</w:t>
            </w:r>
            <w:r>
              <w:rPr>
                <w:kern w:val="0"/>
                <w:sz w:val="24"/>
              </w:rPr>
              <w:t>2021</w:t>
            </w:r>
            <w:r>
              <w:rPr>
                <w:rFonts w:hint="eastAsia" w:ascii="宋体" w:hAnsi="宋体"/>
                <w:kern w:val="0"/>
                <w:sz w:val="24"/>
              </w:rPr>
              <w:t>年度）</w:t>
            </w:r>
          </w:p>
        </w:tc>
      </w:tr>
      <w:tr>
        <w:tblPrEx>
          <w:tblCellMar>
            <w:top w:w="0" w:type="dxa"/>
            <w:left w:w="108" w:type="dxa"/>
            <w:bottom w:w="0" w:type="dxa"/>
            <w:right w:w="108" w:type="dxa"/>
          </w:tblCellMar>
        </w:tblPrEx>
        <w:trPr>
          <w:trHeight w:val="435" w:hRule="atLeast"/>
        </w:trPr>
        <w:tc>
          <w:tcPr>
            <w:tcW w:w="32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项目名称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纪检监察电视栏目经费</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项目类型</w:t>
            </w:r>
          </w:p>
        </w:tc>
        <w:tc>
          <w:tcPr>
            <w:tcW w:w="308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机构运行保障</w:t>
            </w:r>
          </w:p>
        </w:tc>
      </w:tr>
      <w:tr>
        <w:tblPrEx>
          <w:tblCellMar>
            <w:top w:w="0" w:type="dxa"/>
            <w:left w:w="108" w:type="dxa"/>
            <w:bottom w:w="0" w:type="dxa"/>
            <w:right w:w="108" w:type="dxa"/>
          </w:tblCellMar>
        </w:tblPrEx>
        <w:trPr>
          <w:trHeight w:val="803" w:hRule="atLeast"/>
        </w:trPr>
        <w:tc>
          <w:tcPr>
            <w:tcW w:w="32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一级主管部门名称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中国共产党北京市纪律检查委员会</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项目申报单位名称</w:t>
            </w:r>
          </w:p>
        </w:tc>
        <w:tc>
          <w:tcPr>
            <w:tcW w:w="308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北京市纪律检查委员会本级行政</w:t>
            </w:r>
          </w:p>
        </w:tc>
      </w:tr>
      <w:tr>
        <w:tblPrEx>
          <w:tblCellMar>
            <w:top w:w="0" w:type="dxa"/>
            <w:left w:w="108" w:type="dxa"/>
            <w:bottom w:w="0" w:type="dxa"/>
            <w:right w:w="108" w:type="dxa"/>
          </w:tblCellMar>
        </w:tblPrEx>
        <w:trPr>
          <w:trHeight w:val="435" w:hRule="atLeast"/>
        </w:trPr>
        <w:tc>
          <w:tcPr>
            <w:tcW w:w="32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项目属性</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延续性项目</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项目期</w:t>
            </w:r>
          </w:p>
        </w:tc>
        <w:tc>
          <w:tcPr>
            <w:tcW w:w="308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长期</w:t>
            </w:r>
          </w:p>
        </w:tc>
      </w:tr>
      <w:tr>
        <w:tblPrEx>
          <w:tblCellMar>
            <w:top w:w="0" w:type="dxa"/>
            <w:left w:w="108" w:type="dxa"/>
            <w:bottom w:w="0" w:type="dxa"/>
            <w:right w:w="108" w:type="dxa"/>
          </w:tblCellMar>
        </w:tblPrEx>
        <w:trPr>
          <w:trHeight w:val="435" w:hRule="atLeast"/>
        </w:trPr>
        <w:tc>
          <w:tcPr>
            <w:tcW w:w="321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项目实施责任人</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郭云峰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项目实施责任人联系电话</w:t>
            </w:r>
          </w:p>
        </w:tc>
        <w:tc>
          <w:tcPr>
            <w:tcW w:w="308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asciiTheme="minorEastAsia" w:hAnsiTheme="minorEastAsia" w:eastAsiaTheme="minorEastAsia"/>
                <w:kern w:val="0"/>
                <w:sz w:val="20"/>
                <w:szCs w:val="20"/>
              </w:rPr>
              <w:t>13811521561</w:t>
            </w:r>
          </w:p>
        </w:tc>
      </w:tr>
      <w:tr>
        <w:tblPrEx>
          <w:tblCellMar>
            <w:top w:w="0" w:type="dxa"/>
            <w:left w:w="108" w:type="dxa"/>
            <w:bottom w:w="0" w:type="dxa"/>
            <w:right w:w="108" w:type="dxa"/>
          </w:tblCellMar>
        </w:tblPrEx>
        <w:trPr>
          <w:trHeight w:val="435" w:hRule="atLeast"/>
        </w:trPr>
        <w:tc>
          <w:tcPr>
            <w:tcW w:w="52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asciiTheme="minorEastAsia" w:hAnsiTheme="minorEastAsia" w:eastAsiaTheme="minorEastAsia"/>
                <w:kern w:val="0"/>
                <w:sz w:val="20"/>
                <w:szCs w:val="20"/>
              </w:rPr>
              <w:t xml:space="preserve"> </w:t>
            </w:r>
            <w:r>
              <w:rPr>
                <w:rFonts w:hint="eastAsia" w:asciiTheme="minorEastAsia" w:hAnsiTheme="minorEastAsia" w:eastAsiaTheme="minorEastAsia"/>
                <w:kern w:val="0"/>
                <w:sz w:val="20"/>
                <w:szCs w:val="20"/>
              </w:rPr>
              <w:t>年度资金总额（万元，</w:t>
            </w:r>
            <w:r>
              <w:rPr>
                <w:rFonts w:asciiTheme="minorEastAsia" w:hAnsiTheme="minorEastAsia" w:eastAsiaTheme="minorEastAsia"/>
                <w:kern w:val="0"/>
                <w:sz w:val="20"/>
                <w:szCs w:val="20"/>
              </w:rPr>
              <w:t>6</w:t>
            </w:r>
            <w:r>
              <w:rPr>
                <w:rFonts w:hint="eastAsia" w:asciiTheme="minorEastAsia" w:hAnsiTheme="minorEastAsia" w:eastAsiaTheme="minorEastAsia"/>
                <w:kern w:val="0"/>
                <w:sz w:val="20"/>
                <w:szCs w:val="20"/>
              </w:rPr>
              <w:t>位小数）</w:t>
            </w:r>
          </w:p>
        </w:tc>
        <w:tc>
          <w:tcPr>
            <w:tcW w:w="4673"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right"/>
              <w:rPr>
                <w:rFonts w:asciiTheme="minorEastAsia" w:hAnsiTheme="minorEastAsia" w:eastAsiaTheme="minorEastAsia"/>
                <w:kern w:val="0"/>
                <w:sz w:val="20"/>
                <w:szCs w:val="20"/>
              </w:rPr>
            </w:pPr>
            <w:r>
              <w:rPr>
                <w:rFonts w:asciiTheme="minorEastAsia" w:hAnsiTheme="minorEastAsia" w:eastAsiaTheme="minorEastAsia"/>
                <w:kern w:val="0"/>
                <w:sz w:val="20"/>
                <w:szCs w:val="20"/>
              </w:rPr>
              <w:t>493.000000</w:t>
            </w:r>
          </w:p>
        </w:tc>
      </w:tr>
      <w:tr>
        <w:tblPrEx>
          <w:tblCellMar>
            <w:top w:w="0" w:type="dxa"/>
            <w:left w:w="108" w:type="dxa"/>
            <w:bottom w:w="0" w:type="dxa"/>
            <w:right w:w="108" w:type="dxa"/>
          </w:tblCellMar>
        </w:tblPrEx>
        <w:trPr>
          <w:trHeight w:val="435" w:hRule="atLeast"/>
        </w:trPr>
        <w:tc>
          <w:tcPr>
            <w:tcW w:w="52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asciiTheme="minorEastAsia" w:hAnsiTheme="minorEastAsia" w:eastAsiaTheme="minorEastAsia"/>
                <w:kern w:val="0"/>
                <w:sz w:val="20"/>
                <w:szCs w:val="20"/>
              </w:rPr>
              <w:t xml:space="preserve">   </w:t>
            </w:r>
            <w:r>
              <w:rPr>
                <w:rFonts w:hint="eastAsia" w:asciiTheme="minorEastAsia" w:hAnsiTheme="minorEastAsia" w:eastAsiaTheme="minorEastAsia"/>
                <w:kern w:val="0"/>
                <w:sz w:val="20"/>
                <w:szCs w:val="20"/>
              </w:rPr>
              <w:t>其中：财政拨款（万元，</w:t>
            </w:r>
            <w:r>
              <w:rPr>
                <w:rFonts w:asciiTheme="minorEastAsia" w:hAnsiTheme="minorEastAsia" w:eastAsiaTheme="minorEastAsia"/>
                <w:kern w:val="0"/>
                <w:sz w:val="20"/>
                <w:szCs w:val="20"/>
              </w:rPr>
              <w:t>6</w:t>
            </w:r>
            <w:r>
              <w:rPr>
                <w:rFonts w:hint="eastAsia" w:asciiTheme="minorEastAsia" w:hAnsiTheme="minorEastAsia" w:eastAsiaTheme="minorEastAsia"/>
                <w:kern w:val="0"/>
                <w:sz w:val="20"/>
                <w:szCs w:val="20"/>
              </w:rPr>
              <w:t>位小数）</w:t>
            </w:r>
          </w:p>
        </w:tc>
        <w:tc>
          <w:tcPr>
            <w:tcW w:w="4673"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right"/>
              <w:rPr>
                <w:rFonts w:asciiTheme="minorEastAsia" w:hAnsiTheme="minorEastAsia" w:eastAsiaTheme="minorEastAsia"/>
                <w:kern w:val="0"/>
                <w:sz w:val="20"/>
                <w:szCs w:val="20"/>
              </w:rPr>
            </w:pPr>
            <w:r>
              <w:rPr>
                <w:rFonts w:asciiTheme="minorEastAsia" w:hAnsiTheme="minorEastAsia" w:eastAsiaTheme="minorEastAsia"/>
                <w:kern w:val="0"/>
                <w:sz w:val="20"/>
                <w:szCs w:val="20"/>
              </w:rPr>
              <w:t>493.000000</w:t>
            </w:r>
          </w:p>
        </w:tc>
      </w:tr>
      <w:tr>
        <w:tblPrEx>
          <w:tblCellMar>
            <w:top w:w="0" w:type="dxa"/>
            <w:left w:w="108" w:type="dxa"/>
            <w:bottom w:w="0" w:type="dxa"/>
            <w:right w:w="108" w:type="dxa"/>
          </w:tblCellMar>
        </w:tblPrEx>
        <w:trPr>
          <w:trHeight w:val="435" w:hRule="atLeast"/>
        </w:trPr>
        <w:tc>
          <w:tcPr>
            <w:tcW w:w="52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asciiTheme="minorEastAsia" w:hAnsiTheme="minorEastAsia" w:eastAsiaTheme="minorEastAsia"/>
                <w:kern w:val="0"/>
                <w:sz w:val="20"/>
                <w:szCs w:val="20"/>
              </w:rPr>
              <w:t xml:space="preserve">        </w:t>
            </w:r>
            <w:r>
              <w:rPr>
                <w:rFonts w:hint="eastAsia" w:asciiTheme="minorEastAsia" w:hAnsiTheme="minorEastAsia" w:eastAsiaTheme="minorEastAsia"/>
                <w:kern w:val="0"/>
                <w:sz w:val="20"/>
                <w:szCs w:val="20"/>
              </w:rPr>
              <w:t>其他资金（万元，</w:t>
            </w:r>
            <w:r>
              <w:rPr>
                <w:rFonts w:asciiTheme="minorEastAsia" w:hAnsiTheme="minorEastAsia" w:eastAsiaTheme="minorEastAsia"/>
                <w:kern w:val="0"/>
                <w:sz w:val="20"/>
                <w:szCs w:val="20"/>
              </w:rPr>
              <w:t>6</w:t>
            </w:r>
            <w:r>
              <w:rPr>
                <w:rFonts w:hint="eastAsia" w:asciiTheme="minorEastAsia" w:hAnsiTheme="minorEastAsia" w:eastAsiaTheme="minorEastAsia"/>
                <w:kern w:val="0"/>
                <w:sz w:val="20"/>
                <w:szCs w:val="20"/>
              </w:rPr>
              <w:t>位小数）</w:t>
            </w:r>
          </w:p>
        </w:tc>
        <w:tc>
          <w:tcPr>
            <w:tcW w:w="4673"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right"/>
              <w:rPr>
                <w:rFonts w:asciiTheme="minorEastAsia" w:hAnsiTheme="minorEastAsia" w:eastAsiaTheme="minorEastAsia"/>
                <w:kern w:val="0"/>
                <w:sz w:val="20"/>
                <w:szCs w:val="20"/>
              </w:rPr>
            </w:pPr>
            <w:r>
              <w:rPr>
                <w:rFonts w:asciiTheme="minorEastAsia" w:hAnsiTheme="minorEastAsia" w:eastAsiaTheme="minorEastAsia"/>
                <w:kern w:val="0"/>
                <w:sz w:val="20"/>
                <w:szCs w:val="20"/>
              </w:rPr>
              <w:t>0.000000</w:t>
            </w:r>
          </w:p>
        </w:tc>
      </w:tr>
      <w:tr>
        <w:tblPrEx>
          <w:tblCellMar>
            <w:top w:w="0" w:type="dxa"/>
            <w:left w:w="108" w:type="dxa"/>
            <w:bottom w:w="0" w:type="dxa"/>
            <w:right w:w="108" w:type="dxa"/>
          </w:tblCellMar>
        </w:tblPrEx>
        <w:trPr>
          <w:trHeight w:val="1140" w:hRule="atLeast"/>
        </w:trPr>
        <w:tc>
          <w:tcPr>
            <w:tcW w:w="72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总</w:t>
            </w:r>
            <w:r>
              <w:rPr>
                <w:rFonts w:hint="eastAsia" w:asciiTheme="minorEastAsia" w:hAnsiTheme="minorEastAsia" w:eastAsiaTheme="minorEastAsia"/>
                <w:kern w:val="0"/>
                <w:sz w:val="20"/>
                <w:szCs w:val="20"/>
              </w:rPr>
              <w:br w:type="textWrapping"/>
            </w:r>
            <w:r>
              <w:rPr>
                <w:rFonts w:hint="eastAsia" w:asciiTheme="minorEastAsia" w:hAnsiTheme="minorEastAsia" w:eastAsiaTheme="minorEastAsia"/>
                <w:kern w:val="0"/>
                <w:sz w:val="20"/>
                <w:szCs w:val="20"/>
              </w:rPr>
              <w:t>体</w:t>
            </w:r>
            <w:r>
              <w:rPr>
                <w:rFonts w:hint="eastAsia" w:asciiTheme="minorEastAsia" w:hAnsiTheme="minorEastAsia" w:eastAsiaTheme="minorEastAsia"/>
                <w:kern w:val="0"/>
                <w:sz w:val="20"/>
                <w:szCs w:val="20"/>
              </w:rPr>
              <w:br w:type="textWrapping"/>
            </w:r>
            <w:r>
              <w:rPr>
                <w:rFonts w:hint="eastAsia" w:asciiTheme="minorEastAsia" w:hAnsiTheme="minorEastAsia" w:eastAsiaTheme="minorEastAsia"/>
                <w:kern w:val="0"/>
                <w:sz w:val="20"/>
                <w:szCs w:val="20"/>
              </w:rPr>
              <w:t>目</w:t>
            </w:r>
            <w:r>
              <w:rPr>
                <w:rFonts w:hint="eastAsia" w:asciiTheme="minorEastAsia" w:hAnsiTheme="minorEastAsia" w:eastAsiaTheme="minorEastAsia"/>
                <w:kern w:val="0"/>
                <w:sz w:val="20"/>
                <w:szCs w:val="20"/>
              </w:rPr>
              <w:br w:type="textWrapping"/>
            </w:r>
            <w:r>
              <w:rPr>
                <w:rFonts w:hint="eastAsia" w:asciiTheme="minorEastAsia" w:hAnsiTheme="minorEastAsia" w:eastAsiaTheme="minorEastAsia"/>
                <w:kern w:val="0"/>
                <w:sz w:val="20"/>
                <w:szCs w:val="20"/>
              </w:rPr>
              <w:t>标</w:t>
            </w:r>
          </w:p>
        </w:tc>
        <w:tc>
          <w:tcPr>
            <w:tcW w:w="9198"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lef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年度目标：</w:t>
            </w:r>
            <w:r>
              <w:rPr>
                <w:rFonts w:hint="eastAsia" w:asciiTheme="minorEastAsia" w:hAnsiTheme="minorEastAsia" w:eastAsiaTheme="minorEastAsia"/>
                <w:kern w:val="0"/>
                <w:sz w:val="20"/>
                <w:szCs w:val="20"/>
              </w:rPr>
              <w:br w:type="textWrapping"/>
            </w:r>
            <w:r>
              <w:rPr>
                <w:rFonts w:hint="eastAsia" w:asciiTheme="minorEastAsia" w:hAnsiTheme="minorEastAsia" w:eastAsiaTheme="minorEastAsia"/>
                <w:kern w:val="0"/>
                <w:sz w:val="20"/>
                <w:szCs w:val="20"/>
              </w:rPr>
              <w:t>通过制作《清风北京》电视栏目，聚焦主责主业，宣传北京纪检监察工作成果，深入挖掘中国古代廉政文化内涵，大力弘扬党的优良传统，使之成为新形势下加强纪检监察工作的重要资源，营造风清气正的社会环境。</w:t>
            </w:r>
          </w:p>
        </w:tc>
      </w:tr>
      <w:tr>
        <w:tblPrEx>
          <w:tblCellMar>
            <w:top w:w="0" w:type="dxa"/>
            <w:left w:w="108" w:type="dxa"/>
            <w:bottom w:w="0" w:type="dxa"/>
            <w:right w:w="108" w:type="dxa"/>
          </w:tblCellMar>
        </w:tblPrEx>
        <w:trPr>
          <w:trHeight w:val="439" w:hRule="atLeast"/>
        </w:trPr>
        <w:tc>
          <w:tcPr>
            <w:tcW w:w="7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绩</w:t>
            </w:r>
            <w:r>
              <w:rPr>
                <w:rFonts w:hint="eastAsia" w:asciiTheme="minorEastAsia" w:hAnsiTheme="minorEastAsia" w:eastAsiaTheme="minorEastAsia"/>
                <w:kern w:val="0"/>
                <w:sz w:val="20"/>
                <w:szCs w:val="20"/>
              </w:rPr>
              <w:br w:type="textWrapping"/>
            </w:r>
            <w:r>
              <w:rPr>
                <w:rFonts w:hint="eastAsia" w:asciiTheme="minorEastAsia" w:hAnsiTheme="minorEastAsia" w:eastAsiaTheme="minorEastAsia"/>
                <w:kern w:val="0"/>
                <w:sz w:val="20"/>
                <w:szCs w:val="20"/>
              </w:rPr>
              <w:t>效</w:t>
            </w:r>
            <w:r>
              <w:rPr>
                <w:rFonts w:hint="eastAsia" w:asciiTheme="minorEastAsia" w:hAnsiTheme="minorEastAsia" w:eastAsiaTheme="minorEastAsia"/>
                <w:kern w:val="0"/>
                <w:sz w:val="20"/>
                <w:szCs w:val="20"/>
              </w:rPr>
              <w:br w:type="textWrapping"/>
            </w:r>
            <w:r>
              <w:rPr>
                <w:rFonts w:hint="eastAsia" w:asciiTheme="minorEastAsia" w:hAnsiTheme="minorEastAsia" w:eastAsiaTheme="minorEastAsia"/>
                <w:kern w:val="0"/>
                <w:sz w:val="20"/>
                <w:szCs w:val="20"/>
              </w:rPr>
              <w:t>指</w:t>
            </w:r>
            <w:r>
              <w:rPr>
                <w:rFonts w:hint="eastAsia" w:asciiTheme="minorEastAsia" w:hAnsiTheme="minorEastAsia" w:eastAsiaTheme="minorEastAsia"/>
                <w:kern w:val="0"/>
                <w:sz w:val="20"/>
                <w:szCs w:val="20"/>
              </w:rPr>
              <w:br w:type="textWrapping"/>
            </w:r>
            <w:r>
              <w:rPr>
                <w:rFonts w:hint="eastAsia" w:asciiTheme="minorEastAsia" w:hAnsiTheme="minorEastAsia" w:eastAsiaTheme="minorEastAsia"/>
                <w:kern w:val="0"/>
                <w:sz w:val="20"/>
                <w:szCs w:val="20"/>
              </w:rPr>
              <w:t>标</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一级指标</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二级指标</w:t>
            </w:r>
          </w:p>
        </w:tc>
        <w:tc>
          <w:tcPr>
            <w:tcW w:w="670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指标值</w:t>
            </w:r>
          </w:p>
        </w:tc>
      </w:tr>
      <w:tr>
        <w:tblPrEx>
          <w:tblCellMar>
            <w:top w:w="0" w:type="dxa"/>
            <w:left w:w="108" w:type="dxa"/>
            <w:bottom w:w="0" w:type="dxa"/>
            <w:right w:w="108" w:type="dxa"/>
          </w:tblCellMar>
        </w:tblPrEx>
        <w:trPr>
          <w:trHeight w:val="690" w:hRule="atLeast"/>
        </w:trPr>
        <w:tc>
          <w:tcPr>
            <w:tcW w:w="725"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机构运行保障</w:t>
            </w:r>
          </w:p>
        </w:tc>
        <w:tc>
          <w:tcPr>
            <w:tcW w:w="0" w:type="auto"/>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纪检监察电视栏目经费</w:t>
            </w:r>
          </w:p>
        </w:tc>
        <w:tc>
          <w:tcPr>
            <w:tcW w:w="6708" w:type="dxa"/>
            <w:gridSpan w:val="3"/>
            <w:tcBorders>
              <w:top w:val="single" w:color="auto" w:sz="4" w:space="0"/>
              <w:left w:val="nil"/>
              <w:bottom w:val="single" w:color="auto" w:sz="4" w:space="0"/>
              <w:right w:val="single" w:color="000000" w:sz="4" w:space="0"/>
            </w:tcBorders>
            <w:shd w:val="clear" w:color="auto" w:fill="auto"/>
            <w:vAlign w:val="center"/>
          </w:tcPr>
          <w:p>
            <w:pPr>
              <w:widowControl/>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数量：制作节目</w:t>
            </w:r>
            <w:r>
              <w:rPr>
                <w:rFonts w:asciiTheme="minorEastAsia" w:hAnsiTheme="minorEastAsia" w:eastAsiaTheme="minorEastAsia"/>
                <w:kern w:val="0"/>
                <w:sz w:val="20"/>
                <w:szCs w:val="20"/>
              </w:rPr>
              <w:t>52</w:t>
            </w:r>
            <w:r>
              <w:rPr>
                <w:rFonts w:hint="eastAsia" w:asciiTheme="minorEastAsia" w:hAnsiTheme="minorEastAsia" w:eastAsiaTheme="minorEastAsia"/>
                <w:kern w:val="0"/>
                <w:sz w:val="20"/>
                <w:szCs w:val="20"/>
              </w:rPr>
              <w:t>期、每期时长</w:t>
            </w:r>
            <w:r>
              <w:rPr>
                <w:rFonts w:asciiTheme="minorEastAsia" w:hAnsiTheme="minorEastAsia" w:eastAsiaTheme="minorEastAsia"/>
                <w:kern w:val="0"/>
                <w:sz w:val="20"/>
                <w:szCs w:val="20"/>
              </w:rPr>
              <w:t>20</w:t>
            </w:r>
            <w:r>
              <w:rPr>
                <w:rFonts w:hint="eastAsia" w:asciiTheme="minorEastAsia" w:hAnsiTheme="minorEastAsia" w:eastAsiaTheme="minorEastAsia"/>
                <w:kern w:val="0"/>
                <w:sz w:val="20"/>
                <w:szCs w:val="20"/>
              </w:rPr>
              <w:t>分钟；制作相关短视频</w:t>
            </w:r>
            <w:r>
              <w:rPr>
                <w:rFonts w:asciiTheme="minorEastAsia" w:hAnsiTheme="minorEastAsia" w:eastAsiaTheme="minorEastAsia"/>
                <w:kern w:val="0"/>
                <w:sz w:val="20"/>
                <w:szCs w:val="20"/>
              </w:rPr>
              <w:t>3-5</w:t>
            </w:r>
            <w:r>
              <w:rPr>
                <w:rFonts w:hint="eastAsia" w:asciiTheme="minorEastAsia" w:hAnsiTheme="minorEastAsia" w:eastAsiaTheme="minorEastAsia"/>
                <w:kern w:val="0"/>
                <w:sz w:val="20"/>
                <w:szCs w:val="20"/>
              </w:rPr>
              <w:t>个。宣传渠道</w:t>
            </w:r>
            <w:r>
              <w:rPr>
                <w:rFonts w:asciiTheme="minorEastAsia" w:hAnsiTheme="minorEastAsia" w:eastAsiaTheme="minorEastAsia"/>
                <w:kern w:val="0"/>
                <w:sz w:val="20"/>
                <w:szCs w:val="20"/>
              </w:rPr>
              <w:t>12</w:t>
            </w:r>
            <w:r>
              <w:rPr>
                <w:rFonts w:hint="eastAsia" w:asciiTheme="minorEastAsia" w:hAnsiTheme="minorEastAsia" w:eastAsiaTheme="minorEastAsia"/>
                <w:kern w:val="0"/>
                <w:sz w:val="20"/>
                <w:szCs w:val="20"/>
              </w:rPr>
              <w:t>个。</w:t>
            </w:r>
          </w:p>
        </w:tc>
      </w:tr>
      <w:tr>
        <w:tblPrEx>
          <w:tblCellMar>
            <w:top w:w="0" w:type="dxa"/>
            <w:left w:w="108" w:type="dxa"/>
            <w:bottom w:w="0" w:type="dxa"/>
            <w:right w:w="108" w:type="dxa"/>
          </w:tblCellMar>
        </w:tblPrEx>
        <w:trPr>
          <w:trHeight w:val="555" w:hRule="atLeast"/>
        </w:trPr>
        <w:tc>
          <w:tcPr>
            <w:tcW w:w="725"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6708" w:type="dxa"/>
            <w:gridSpan w:val="3"/>
            <w:tcBorders>
              <w:top w:val="single" w:color="auto" w:sz="4" w:space="0"/>
              <w:left w:val="nil"/>
              <w:bottom w:val="single" w:color="auto" w:sz="4" w:space="0"/>
              <w:right w:val="single" w:color="000000" w:sz="4" w:space="0"/>
            </w:tcBorders>
            <w:shd w:val="clear" w:color="auto" w:fill="auto"/>
            <w:vAlign w:val="center"/>
          </w:tcPr>
          <w:p>
            <w:pPr>
              <w:widowControl/>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质量：节目收视率</w:t>
            </w:r>
            <w:r>
              <w:rPr>
                <w:rFonts w:asciiTheme="minorEastAsia" w:hAnsiTheme="minorEastAsia" w:eastAsiaTheme="minorEastAsia"/>
                <w:kern w:val="0"/>
                <w:sz w:val="20"/>
                <w:szCs w:val="20"/>
              </w:rPr>
              <w:t>0.15</w:t>
            </w:r>
            <w:r>
              <w:rPr>
                <w:rFonts w:hint="eastAsia" w:asciiTheme="minorEastAsia" w:hAnsiTheme="minorEastAsia" w:eastAsiaTheme="minorEastAsia"/>
                <w:kern w:val="0"/>
                <w:sz w:val="20"/>
                <w:szCs w:val="20"/>
              </w:rPr>
              <w:t>以上。</w:t>
            </w:r>
          </w:p>
        </w:tc>
      </w:tr>
      <w:tr>
        <w:tblPrEx>
          <w:tblCellMar>
            <w:top w:w="0" w:type="dxa"/>
            <w:left w:w="108" w:type="dxa"/>
            <w:bottom w:w="0" w:type="dxa"/>
            <w:right w:w="108" w:type="dxa"/>
          </w:tblCellMar>
        </w:tblPrEx>
        <w:trPr>
          <w:trHeight w:val="555" w:hRule="atLeast"/>
        </w:trPr>
        <w:tc>
          <w:tcPr>
            <w:tcW w:w="725"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6708" w:type="dxa"/>
            <w:gridSpan w:val="3"/>
            <w:tcBorders>
              <w:top w:val="single" w:color="auto" w:sz="4" w:space="0"/>
              <w:left w:val="nil"/>
              <w:bottom w:val="single" w:color="auto" w:sz="4" w:space="0"/>
              <w:right w:val="single" w:color="000000" w:sz="4" w:space="0"/>
            </w:tcBorders>
            <w:shd w:val="clear" w:color="auto" w:fill="auto"/>
            <w:vAlign w:val="center"/>
          </w:tcPr>
          <w:p>
            <w:pPr>
              <w:widowControl/>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进度：</w:t>
            </w:r>
            <w:r>
              <w:rPr>
                <w:rFonts w:asciiTheme="minorEastAsia" w:hAnsiTheme="minorEastAsia" w:eastAsiaTheme="minorEastAsia"/>
                <w:kern w:val="0"/>
                <w:sz w:val="20"/>
                <w:szCs w:val="20"/>
              </w:rPr>
              <w:t>2021</w:t>
            </w:r>
            <w:r>
              <w:rPr>
                <w:rFonts w:hint="eastAsia" w:asciiTheme="minorEastAsia" w:hAnsiTheme="minorEastAsia" w:eastAsiaTheme="minorEastAsia"/>
                <w:kern w:val="0"/>
                <w:sz w:val="20"/>
                <w:szCs w:val="20"/>
              </w:rPr>
              <w:t>年</w:t>
            </w:r>
            <w:r>
              <w:rPr>
                <w:rFonts w:asciiTheme="minorEastAsia" w:hAnsiTheme="minorEastAsia" w:eastAsiaTheme="minorEastAsia"/>
                <w:kern w:val="0"/>
                <w:sz w:val="20"/>
                <w:szCs w:val="20"/>
              </w:rPr>
              <w:t>12</w:t>
            </w:r>
            <w:r>
              <w:rPr>
                <w:rFonts w:hint="eastAsia" w:asciiTheme="minorEastAsia" w:hAnsiTheme="minorEastAsia" w:eastAsiaTheme="minorEastAsia"/>
                <w:kern w:val="0"/>
                <w:sz w:val="20"/>
                <w:szCs w:val="20"/>
              </w:rPr>
              <w:t>月中旬之前完成。</w:t>
            </w:r>
          </w:p>
        </w:tc>
      </w:tr>
      <w:tr>
        <w:tblPrEx>
          <w:tblCellMar>
            <w:top w:w="0" w:type="dxa"/>
            <w:left w:w="108" w:type="dxa"/>
            <w:bottom w:w="0" w:type="dxa"/>
            <w:right w:w="108" w:type="dxa"/>
          </w:tblCellMar>
        </w:tblPrEx>
        <w:trPr>
          <w:trHeight w:val="803" w:hRule="atLeast"/>
        </w:trPr>
        <w:tc>
          <w:tcPr>
            <w:tcW w:w="725"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6708" w:type="dxa"/>
            <w:gridSpan w:val="3"/>
            <w:tcBorders>
              <w:top w:val="single" w:color="auto" w:sz="4" w:space="0"/>
              <w:left w:val="nil"/>
              <w:bottom w:val="single" w:color="auto" w:sz="4" w:space="0"/>
              <w:right w:val="single" w:color="000000" w:sz="4" w:space="0"/>
            </w:tcBorders>
            <w:shd w:val="clear" w:color="auto" w:fill="auto"/>
            <w:vAlign w:val="center"/>
          </w:tcPr>
          <w:p>
            <w:pPr>
              <w:widowControl/>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成本：项目预算控制数</w:t>
            </w:r>
            <w:r>
              <w:rPr>
                <w:rFonts w:asciiTheme="minorEastAsia" w:hAnsiTheme="minorEastAsia" w:eastAsiaTheme="minorEastAsia"/>
                <w:kern w:val="0"/>
                <w:sz w:val="20"/>
                <w:szCs w:val="20"/>
              </w:rPr>
              <w:t>493</w:t>
            </w:r>
            <w:r>
              <w:rPr>
                <w:rFonts w:hint="eastAsia" w:asciiTheme="minorEastAsia" w:hAnsiTheme="minorEastAsia" w:eastAsiaTheme="minorEastAsia"/>
                <w:kern w:val="0"/>
                <w:sz w:val="20"/>
                <w:szCs w:val="20"/>
              </w:rPr>
              <w:t>万元。每期节目制作经费</w:t>
            </w:r>
            <w:r>
              <w:rPr>
                <w:rFonts w:asciiTheme="minorEastAsia" w:hAnsiTheme="minorEastAsia" w:eastAsiaTheme="minorEastAsia"/>
                <w:kern w:val="0"/>
                <w:sz w:val="20"/>
                <w:szCs w:val="20"/>
              </w:rPr>
              <w:t>9.23</w:t>
            </w:r>
            <w:r>
              <w:rPr>
                <w:rFonts w:hint="eastAsia" w:asciiTheme="minorEastAsia" w:hAnsiTheme="minorEastAsia" w:eastAsiaTheme="minorEastAsia"/>
                <w:kern w:val="0"/>
                <w:sz w:val="20"/>
                <w:szCs w:val="20"/>
              </w:rPr>
              <w:t>万元，</w:t>
            </w:r>
            <w:r>
              <w:rPr>
                <w:rFonts w:asciiTheme="minorEastAsia" w:hAnsiTheme="minorEastAsia" w:eastAsiaTheme="minorEastAsia"/>
                <w:kern w:val="0"/>
                <w:sz w:val="20"/>
                <w:szCs w:val="20"/>
              </w:rPr>
              <w:t>52</w:t>
            </w:r>
            <w:r>
              <w:rPr>
                <w:rFonts w:hint="eastAsia" w:asciiTheme="minorEastAsia" w:hAnsiTheme="minorEastAsia" w:eastAsiaTheme="minorEastAsia"/>
                <w:kern w:val="0"/>
                <w:sz w:val="20"/>
                <w:szCs w:val="20"/>
              </w:rPr>
              <w:t>期节目制作经费共计</w:t>
            </w:r>
            <w:r>
              <w:rPr>
                <w:rFonts w:asciiTheme="minorEastAsia" w:hAnsiTheme="minorEastAsia" w:eastAsiaTheme="minorEastAsia"/>
                <w:kern w:val="0"/>
                <w:sz w:val="20"/>
                <w:szCs w:val="20"/>
              </w:rPr>
              <w:t>479.96</w:t>
            </w:r>
            <w:r>
              <w:rPr>
                <w:rFonts w:hint="eastAsia" w:asciiTheme="minorEastAsia" w:hAnsiTheme="minorEastAsia" w:eastAsiaTheme="minorEastAsia"/>
                <w:kern w:val="0"/>
                <w:sz w:val="20"/>
                <w:szCs w:val="20"/>
              </w:rPr>
              <w:t>万元；相关短视频制作经费</w:t>
            </w:r>
            <w:r>
              <w:rPr>
                <w:rFonts w:asciiTheme="minorEastAsia" w:hAnsiTheme="minorEastAsia" w:eastAsiaTheme="minorEastAsia"/>
                <w:kern w:val="0"/>
                <w:sz w:val="20"/>
                <w:szCs w:val="20"/>
              </w:rPr>
              <w:t>13.04</w:t>
            </w:r>
            <w:r>
              <w:rPr>
                <w:rFonts w:hint="eastAsia" w:asciiTheme="minorEastAsia" w:hAnsiTheme="minorEastAsia" w:eastAsiaTheme="minorEastAsia"/>
                <w:kern w:val="0"/>
                <w:sz w:val="20"/>
                <w:szCs w:val="20"/>
              </w:rPr>
              <w:t>万元。</w:t>
            </w:r>
          </w:p>
        </w:tc>
      </w:tr>
      <w:tr>
        <w:tblPrEx>
          <w:tblCellMar>
            <w:top w:w="0" w:type="dxa"/>
            <w:left w:w="108" w:type="dxa"/>
            <w:bottom w:w="0" w:type="dxa"/>
            <w:right w:w="108" w:type="dxa"/>
          </w:tblCellMar>
        </w:tblPrEx>
        <w:trPr>
          <w:trHeight w:val="1080" w:hRule="atLeast"/>
        </w:trPr>
        <w:tc>
          <w:tcPr>
            <w:tcW w:w="725"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0" w:type="auto"/>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6708" w:type="dxa"/>
            <w:gridSpan w:val="3"/>
            <w:tcBorders>
              <w:top w:val="single" w:color="auto" w:sz="4" w:space="0"/>
              <w:left w:val="nil"/>
              <w:bottom w:val="single" w:color="auto" w:sz="4" w:space="0"/>
              <w:right w:val="single" w:color="000000" w:sz="4" w:space="0"/>
            </w:tcBorders>
            <w:shd w:val="clear" w:color="auto" w:fill="auto"/>
            <w:vAlign w:val="center"/>
          </w:tcPr>
          <w:p>
            <w:pPr>
              <w:widowControl/>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效益：电视节目转播率</w:t>
            </w:r>
            <w:r>
              <w:rPr>
                <w:rFonts w:asciiTheme="minorEastAsia" w:hAnsiTheme="minorEastAsia" w:eastAsiaTheme="minorEastAsia"/>
                <w:kern w:val="0"/>
                <w:sz w:val="20"/>
                <w:szCs w:val="20"/>
              </w:rPr>
              <w:t>90%</w:t>
            </w:r>
            <w:r>
              <w:rPr>
                <w:rFonts w:hint="eastAsia" w:asciiTheme="minorEastAsia" w:hAnsiTheme="minorEastAsia" w:eastAsiaTheme="minorEastAsia"/>
                <w:kern w:val="0"/>
                <w:sz w:val="20"/>
                <w:szCs w:val="20"/>
              </w:rPr>
              <w:t>以上。主要面向以党员干部为主体的社会大众，满足全市党员干部及公职人员对纪律教育需求，提升社会大众对纪检监察工作的认知度。</w:t>
            </w:r>
          </w:p>
        </w:tc>
      </w:tr>
    </w:tbl>
    <w:p>
      <w:pPr>
        <w:widowControl/>
        <w:jc w:val="left"/>
        <w:rPr>
          <w:rFonts w:asciiTheme="minorEastAsia" w:hAnsiTheme="minorEastAsia" w:eastAsiaTheme="minorEastAsia"/>
          <w:sz w:val="20"/>
          <w:szCs w:val="20"/>
        </w:rPr>
      </w:pPr>
    </w:p>
    <w:p>
      <w:pPr>
        <w:widowControl/>
        <w:jc w:val="left"/>
        <w:rPr>
          <w:rFonts w:ascii="黑体" w:hAnsi="黑体" w:eastAsia="黑体"/>
          <w:sz w:val="32"/>
          <w:szCs w:val="32"/>
        </w:rPr>
      </w:pPr>
      <w:r>
        <w:rPr>
          <w:rFonts w:ascii="黑体" w:hAnsi="黑体" w:eastAsia="黑体"/>
          <w:sz w:val="32"/>
          <w:szCs w:val="32"/>
        </w:rPr>
        <w:br w:type="page"/>
      </w:r>
    </w:p>
    <w:p>
      <w:pPr>
        <w:spacing w:line="360" w:lineRule="auto"/>
        <w:rPr>
          <w:rFonts w:ascii="黑体" w:hAnsi="黑体" w:eastAsia="黑体"/>
          <w:sz w:val="32"/>
          <w:szCs w:val="32"/>
        </w:rPr>
      </w:pPr>
      <w:r>
        <w:rPr>
          <w:rFonts w:hint="eastAsia" w:ascii="黑体" w:hAnsi="黑体" w:eastAsia="黑体"/>
          <w:sz w:val="32"/>
          <w:szCs w:val="32"/>
        </w:rPr>
        <w:t>附件2：</w:t>
      </w:r>
    </w:p>
    <w:p>
      <w:pPr>
        <w:widowControl/>
        <w:spacing w:line="240" w:lineRule="atLeast"/>
        <w:jc w:val="center"/>
        <w:textAlignment w:val="center"/>
        <w:rPr>
          <w:rFonts w:ascii="宋体" w:hAnsi="宋体" w:cs="宋体"/>
          <w:b/>
          <w:bCs/>
          <w:color w:val="000000"/>
          <w:kern w:val="0"/>
          <w:szCs w:val="21"/>
        </w:rPr>
      </w:pPr>
      <w:r>
        <w:rPr>
          <w:rFonts w:ascii="宋体" w:hAnsi="宋体" w:cs="宋体"/>
          <w:b/>
          <w:bCs/>
          <w:color w:val="000000"/>
          <w:kern w:val="0"/>
          <w:szCs w:val="21"/>
        </w:rPr>
        <w:t>纪检监察电视栏目制作项目</w:t>
      </w:r>
      <w:r>
        <w:rPr>
          <w:rFonts w:hint="eastAsia" w:ascii="宋体" w:hAnsi="宋体" w:cs="宋体"/>
          <w:b/>
          <w:bCs/>
          <w:color w:val="000000"/>
          <w:kern w:val="0"/>
          <w:szCs w:val="21"/>
        </w:rPr>
        <w:t>绩效评价指标体系及打分情况表</w:t>
      </w:r>
    </w:p>
    <w:tbl>
      <w:tblPr>
        <w:tblStyle w:val="19"/>
        <w:tblW w:w="5171" w:type="pct"/>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997"/>
        <w:gridCol w:w="1132"/>
        <w:gridCol w:w="5246"/>
        <w:gridCol w:w="568"/>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495" w:type="pct"/>
            <w:shd w:val="clear" w:color="auto" w:fill="FFFFFF"/>
            <w:vAlign w:val="center"/>
          </w:tcPr>
          <w:p>
            <w:pPr>
              <w:widowControl/>
              <w:spacing w:line="240" w:lineRule="atLeast"/>
              <w:jc w:val="center"/>
              <w:textAlignment w:val="center"/>
              <w:rPr>
                <w:rFonts w:cs="宋体" w:asciiTheme="minorEastAsia" w:hAnsiTheme="minorEastAsia" w:eastAsiaTheme="minorEastAsia"/>
                <w:b/>
                <w:bCs/>
                <w:color w:val="000000"/>
                <w:kern w:val="0"/>
                <w:sz w:val="20"/>
                <w:szCs w:val="20"/>
              </w:rPr>
            </w:pPr>
            <w:r>
              <w:rPr>
                <w:rFonts w:hint="eastAsia" w:cs="宋体" w:asciiTheme="minorEastAsia" w:hAnsiTheme="minorEastAsia" w:eastAsiaTheme="minorEastAsia"/>
                <w:b/>
                <w:bCs/>
                <w:color w:val="000000"/>
                <w:kern w:val="0"/>
                <w:sz w:val="20"/>
                <w:szCs w:val="20"/>
              </w:rPr>
              <w:t>一级</w:t>
            </w:r>
          </w:p>
          <w:p>
            <w:pPr>
              <w:widowControl/>
              <w:spacing w:line="240" w:lineRule="atLeast"/>
              <w:jc w:val="center"/>
              <w:textAlignment w:val="center"/>
              <w:rPr>
                <w:rFonts w:cs="宋体" w:asciiTheme="minorEastAsia" w:hAnsiTheme="minorEastAsia" w:eastAsiaTheme="minorEastAsia"/>
                <w:b/>
                <w:bCs/>
                <w:color w:val="000000"/>
                <w:sz w:val="20"/>
                <w:szCs w:val="20"/>
              </w:rPr>
            </w:pPr>
            <w:r>
              <w:rPr>
                <w:rFonts w:hint="eastAsia" w:cs="宋体" w:asciiTheme="minorEastAsia" w:hAnsiTheme="minorEastAsia" w:eastAsiaTheme="minorEastAsia"/>
                <w:b/>
                <w:bCs/>
                <w:color w:val="000000"/>
                <w:kern w:val="0"/>
                <w:sz w:val="20"/>
                <w:szCs w:val="20"/>
              </w:rPr>
              <w:t>指标</w:t>
            </w:r>
          </w:p>
        </w:tc>
        <w:tc>
          <w:tcPr>
            <w:tcW w:w="511" w:type="pct"/>
            <w:shd w:val="clear" w:color="auto" w:fill="FFFFFF"/>
            <w:vAlign w:val="center"/>
          </w:tcPr>
          <w:p>
            <w:pPr>
              <w:widowControl/>
              <w:spacing w:line="240" w:lineRule="atLeast"/>
              <w:jc w:val="center"/>
              <w:textAlignment w:val="center"/>
              <w:rPr>
                <w:rFonts w:cs="宋体" w:asciiTheme="minorEastAsia" w:hAnsiTheme="minorEastAsia" w:eastAsiaTheme="minorEastAsia"/>
                <w:b/>
                <w:bCs/>
                <w:color w:val="000000"/>
                <w:kern w:val="0"/>
                <w:sz w:val="20"/>
                <w:szCs w:val="20"/>
              </w:rPr>
            </w:pPr>
            <w:r>
              <w:rPr>
                <w:rFonts w:hint="eastAsia" w:cs="宋体" w:asciiTheme="minorEastAsia" w:hAnsiTheme="minorEastAsia" w:eastAsiaTheme="minorEastAsia"/>
                <w:b/>
                <w:bCs/>
                <w:color w:val="000000"/>
                <w:kern w:val="0"/>
                <w:sz w:val="20"/>
                <w:szCs w:val="20"/>
              </w:rPr>
              <w:t>二级</w:t>
            </w:r>
          </w:p>
          <w:p>
            <w:pPr>
              <w:widowControl/>
              <w:spacing w:line="240" w:lineRule="atLeast"/>
              <w:jc w:val="center"/>
              <w:textAlignment w:val="center"/>
              <w:rPr>
                <w:rFonts w:cs="宋体" w:asciiTheme="minorEastAsia" w:hAnsiTheme="minorEastAsia" w:eastAsiaTheme="minorEastAsia"/>
                <w:b/>
                <w:bCs/>
                <w:color w:val="000000"/>
                <w:sz w:val="20"/>
                <w:szCs w:val="20"/>
              </w:rPr>
            </w:pPr>
            <w:r>
              <w:rPr>
                <w:rFonts w:hint="eastAsia" w:cs="宋体" w:asciiTheme="minorEastAsia" w:hAnsiTheme="minorEastAsia" w:eastAsiaTheme="minorEastAsia"/>
                <w:b/>
                <w:bCs/>
                <w:color w:val="000000"/>
                <w:kern w:val="0"/>
                <w:sz w:val="20"/>
                <w:szCs w:val="20"/>
              </w:rPr>
              <w:t>指标</w:t>
            </w:r>
          </w:p>
        </w:tc>
        <w:tc>
          <w:tcPr>
            <w:tcW w:w="580" w:type="pct"/>
            <w:shd w:val="clear" w:color="auto" w:fill="FFFFFF"/>
            <w:vAlign w:val="center"/>
          </w:tcPr>
          <w:p>
            <w:pPr>
              <w:widowControl/>
              <w:spacing w:line="240" w:lineRule="atLeast"/>
              <w:jc w:val="center"/>
              <w:textAlignment w:val="center"/>
              <w:rPr>
                <w:rFonts w:cs="宋体" w:asciiTheme="minorEastAsia" w:hAnsiTheme="minorEastAsia" w:eastAsiaTheme="minorEastAsia"/>
                <w:b/>
                <w:bCs/>
                <w:color w:val="000000"/>
                <w:kern w:val="0"/>
                <w:sz w:val="20"/>
                <w:szCs w:val="20"/>
              </w:rPr>
            </w:pPr>
            <w:r>
              <w:rPr>
                <w:rFonts w:hint="eastAsia" w:cs="宋体" w:asciiTheme="minorEastAsia" w:hAnsiTheme="minorEastAsia" w:eastAsiaTheme="minorEastAsia"/>
                <w:b/>
                <w:bCs/>
                <w:color w:val="000000"/>
                <w:kern w:val="0"/>
                <w:sz w:val="20"/>
                <w:szCs w:val="20"/>
              </w:rPr>
              <w:t>三级</w:t>
            </w:r>
          </w:p>
          <w:p>
            <w:pPr>
              <w:widowControl/>
              <w:spacing w:line="240" w:lineRule="atLeast"/>
              <w:jc w:val="center"/>
              <w:textAlignment w:val="center"/>
              <w:rPr>
                <w:rFonts w:cs="宋体" w:asciiTheme="minorEastAsia" w:hAnsiTheme="minorEastAsia" w:eastAsiaTheme="minorEastAsia"/>
                <w:b/>
                <w:bCs/>
                <w:color w:val="000000"/>
                <w:sz w:val="20"/>
                <w:szCs w:val="20"/>
              </w:rPr>
            </w:pPr>
            <w:r>
              <w:rPr>
                <w:rFonts w:hint="eastAsia" w:cs="宋体" w:asciiTheme="minorEastAsia" w:hAnsiTheme="minorEastAsia" w:eastAsiaTheme="minorEastAsia"/>
                <w:b/>
                <w:bCs/>
                <w:color w:val="000000"/>
                <w:kern w:val="0"/>
                <w:sz w:val="20"/>
                <w:szCs w:val="20"/>
              </w:rPr>
              <w:t>指标</w:t>
            </w:r>
          </w:p>
        </w:tc>
        <w:tc>
          <w:tcPr>
            <w:tcW w:w="2688" w:type="pct"/>
            <w:shd w:val="clear" w:color="auto" w:fill="FFFFFF"/>
            <w:vAlign w:val="center"/>
          </w:tcPr>
          <w:p>
            <w:pPr>
              <w:widowControl/>
              <w:spacing w:line="240" w:lineRule="atLeast"/>
              <w:jc w:val="center"/>
              <w:textAlignment w:val="center"/>
              <w:rPr>
                <w:rFonts w:cs="宋体" w:asciiTheme="minorEastAsia" w:hAnsiTheme="minorEastAsia" w:eastAsiaTheme="minorEastAsia"/>
                <w:b/>
                <w:bCs/>
                <w:color w:val="000000"/>
                <w:sz w:val="20"/>
                <w:szCs w:val="20"/>
              </w:rPr>
            </w:pPr>
            <w:r>
              <w:rPr>
                <w:rFonts w:hint="eastAsia" w:cs="宋体" w:asciiTheme="minorEastAsia" w:hAnsiTheme="minorEastAsia" w:eastAsiaTheme="minorEastAsia"/>
                <w:b/>
                <w:bCs/>
                <w:color w:val="000000"/>
                <w:kern w:val="0"/>
                <w:sz w:val="20"/>
                <w:szCs w:val="20"/>
              </w:rPr>
              <w:t>评价要点</w:t>
            </w:r>
          </w:p>
        </w:tc>
        <w:tc>
          <w:tcPr>
            <w:tcW w:w="291" w:type="pct"/>
            <w:shd w:val="clear" w:color="auto" w:fill="FFFFFF"/>
            <w:vAlign w:val="center"/>
          </w:tcPr>
          <w:p>
            <w:pPr>
              <w:widowControl/>
              <w:spacing w:line="240" w:lineRule="atLeast"/>
              <w:jc w:val="center"/>
              <w:textAlignment w:val="center"/>
              <w:rPr>
                <w:rFonts w:cs="宋体" w:asciiTheme="minorEastAsia" w:hAnsiTheme="minorEastAsia" w:eastAsiaTheme="minorEastAsia"/>
                <w:b/>
                <w:bCs/>
                <w:color w:val="000000"/>
                <w:kern w:val="0"/>
                <w:sz w:val="20"/>
                <w:szCs w:val="20"/>
              </w:rPr>
            </w:pPr>
            <w:r>
              <w:rPr>
                <w:rFonts w:hint="eastAsia" w:cs="宋体" w:asciiTheme="minorEastAsia" w:hAnsiTheme="minorEastAsia" w:eastAsiaTheme="minorEastAsia"/>
                <w:b/>
                <w:bCs/>
                <w:color w:val="000000"/>
                <w:kern w:val="0"/>
                <w:sz w:val="20"/>
                <w:szCs w:val="20"/>
              </w:rPr>
              <w:t>分</w:t>
            </w:r>
          </w:p>
          <w:p>
            <w:pPr>
              <w:widowControl/>
              <w:spacing w:line="240" w:lineRule="atLeast"/>
              <w:jc w:val="center"/>
              <w:textAlignment w:val="center"/>
              <w:rPr>
                <w:rFonts w:cs="宋体" w:asciiTheme="minorEastAsia" w:hAnsiTheme="minorEastAsia" w:eastAsiaTheme="minorEastAsia"/>
                <w:b/>
                <w:bCs/>
                <w:color w:val="000000"/>
                <w:sz w:val="20"/>
                <w:szCs w:val="20"/>
              </w:rPr>
            </w:pPr>
            <w:r>
              <w:rPr>
                <w:rFonts w:hint="eastAsia" w:cs="宋体" w:asciiTheme="minorEastAsia" w:hAnsiTheme="minorEastAsia" w:eastAsiaTheme="minorEastAsia"/>
                <w:b/>
                <w:bCs/>
                <w:color w:val="000000"/>
                <w:kern w:val="0"/>
                <w:sz w:val="20"/>
                <w:szCs w:val="20"/>
              </w:rPr>
              <w:t>值</w:t>
            </w:r>
          </w:p>
        </w:tc>
        <w:tc>
          <w:tcPr>
            <w:tcW w:w="435" w:type="pct"/>
            <w:shd w:val="clear" w:color="auto" w:fill="FFFFFF"/>
            <w:vAlign w:val="center"/>
          </w:tcPr>
          <w:p>
            <w:pPr>
              <w:widowControl/>
              <w:spacing w:line="240" w:lineRule="atLeast"/>
              <w:jc w:val="center"/>
              <w:textAlignment w:val="center"/>
              <w:rPr>
                <w:rFonts w:cs="宋体" w:asciiTheme="minorEastAsia" w:hAnsiTheme="minorEastAsia" w:eastAsiaTheme="minorEastAsia"/>
                <w:b/>
                <w:bCs/>
                <w:color w:val="000000"/>
                <w:kern w:val="0"/>
                <w:sz w:val="20"/>
                <w:szCs w:val="20"/>
              </w:rPr>
            </w:pPr>
            <w:r>
              <w:rPr>
                <w:rFonts w:hint="eastAsia" w:cs="宋体" w:asciiTheme="minorEastAsia" w:hAnsiTheme="minorEastAsia" w:eastAsiaTheme="minorEastAsia"/>
                <w:b/>
                <w:bCs/>
                <w:color w:val="000000"/>
                <w:kern w:val="0"/>
                <w:sz w:val="20"/>
                <w:szCs w:val="20"/>
              </w:rPr>
              <w:t>专家</w:t>
            </w:r>
          </w:p>
          <w:p>
            <w:pPr>
              <w:widowControl/>
              <w:spacing w:line="240" w:lineRule="atLeast"/>
              <w:jc w:val="center"/>
              <w:textAlignment w:val="center"/>
              <w:rPr>
                <w:rFonts w:cs="宋体" w:asciiTheme="minorEastAsia" w:hAnsiTheme="minorEastAsia" w:eastAsiaTheme="minorEastAsia"/>
                <w:b/>
                <w:bCs/>
                <w:color w:val="000000"/>
                <w:sz w:val="20"/>
                <w:szCs w:val="20"/>
              </w:rPr>
            </w:pPr>
            <w:r>
              <w:rPr>
                <w:rFonts w:hint="eastAsia" w:cs="宋体" w:asciiTheme="minorEastAsia" w:hAnsiTheme="minorEastAsia" w:eastAsiaTheme="minorEastAsia"/>
                <w:b/>
                <w:bCs/>
                <w:color w:val="000000"/>
                <w:kern w:val="0"/>
                <w:sz w:val="20"/>
                <w:szCs w:val="20"/>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49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 xml:space="preserve">决策   </w:t>
            </w:r>
            <w:r>
              <w:rPr>
                <w:rFonts w:hint="eastAsia" w:cs="宋体" w:asciiTheme="minorEastAsia" w:hAnsiTheme="minorEastAsia" w:eastAsiaTheme="minorEastAsia"/>
                <w:color w:val="000000"/>
                <w:kern w:val="0"/>
                <w:sz w:val="18"/>
                <w:szCs w:val="18"/>
              </w:rPr>
              <w:t>（15分）</w:t>
            </w:r>
          </w:p>
        </w:tc>
        <w:tc>
          <w:tcPr>
            <w:tcW w:w="51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项目</w:t>
            </w:r>
          </w:p>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xml:space="preserve">立项 </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18"/>
                <w:szCs w:val="18"/>
              </w:rPr>
              <w:t>（5分）</w:t>
            </w: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立项依据</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充分性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①项目立项是否符合国家法律法规、国民经济发展规划和相关政策；</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3</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②项目立项是否符合行业发展规划和政策要求；</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③项目立项是否与部门职责范围相符，属于部门履职所需；</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④项目是否属于公共财政支持范围，是否符合中央、地方事权支出责任划分原则；</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⑤项目是否与相关部门同类项目或部门内部相关项目重复。</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立项程序</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规范性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①项目是否按照规定的程序申请设立；</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2</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②审批文件、材料是否符合相关要求；</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③事前是否已经过必要的可行性研究、专家论证、风险评估、绩效评估、集体决策。</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绩效</w:t>
            </w:r>
          </w:p>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xml:space="preserve">目标 </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18"/>
                <w:szCs w:val="18"/>
              </w:rPr>
              <w:t>（5分）</w:t>
            </w: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绩效目标</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合理性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①项目是否有绩效目标；</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3</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②项目绩效目标与实际工作内容是否具有相关性；</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③项目预期产出效益和效果是否符合正常的业绩水平；</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④是否与预算确定的项目投资额或资金量相匹配。</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绩效指标</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明确性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①是否将项目绩效目标细化分解为具体的绩效指标；</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2</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②是否通过清晰、可衡量的指标值予以体现；</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③是否与项目目标任务数或计划数相对应。</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资金</w:t>
            </w:r>
          </w:p>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xml:space="preserve">投入 </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18"/>
                <w:szCs w:val="18"/>
              </w:rPr>
              <w:t>（5分）</w:t>
            </w: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预算编制</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科学性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①预算编制是否经过科学论证；</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3</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②预算内容与项目内容是否匹配；</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③预算额度测算依据是否充分，是否按照标准编制；</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④预算确定的项目投资额或资金量是否与工作任务相匹配。</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资金分配</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合理性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①预算资金分配依据是否充分；</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2</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②资金分配额度是否合理，与项目单位的实际需求是否相适应</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trPr>
        <w:tc>
          <w:tcPr>
            <w:tcW w:w="49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 xml:space="preserve">过程   </w:t>
            </w:r>
            <w:r>
              <w:rPr>
                <w:rFonts w:hint="eastAsia" w:cs="宋体" w:asciiTheme="minorEastAsia" w:hAnsiTheme="minorEastAsia" w:eastAsiaTheme="minorEastAsia"/>
                <w:color w:val="000000"/>
                <w:kern w:val="0"/>
                <w:sz w:val="18"/>
                <w:szCs w:val="18"/>
              </w:rPr>
              <w:t>（25分）</w:t>
            </w:r>
          </w:p>
        </w:tc>
        <w:tc>
          <w:tcPr>
            <w:tcW w:w="51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资金</w:t>
            </w:r>
          </w:p>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管理</w:t>
            </w:r>
          </w:p>
          <w:p>
            <w:pPr>
              <w:widowControl/>
              <w:spacing w:line="240" w:lineRule="atLeast"/>
              <w:jc w:val="center"/>
              <w:textAlignment w:val="center"/>
              <w:rPr>
                <w:rFonts w:cs="宋体" w:asciiTheme="minorEastAsia" w:hAnsiTheme="minorEastAsia" w:eastAsiaTheme="minorEastAsia"/>
                <w:color w:val="000000"/>
                <w:sz w:val="18"/>
                <w:szCs w:val="18"/>
              </w:rPr>
            </w:pPr>
            <w:r>
              <w:rPr>
                <w:rFonts w:hint="eastAsia" w:cs="宋体" w:asciiTheme="minorEastAsia" w:hAnsiTheme="minorEastAsia" w:eastAsiaTheme="minorEastAsia"/>
                <w:color w:val="000000"/>
                <w:kern w:val="0"/>
                <w:sz w:val="18"/>
                <w:szCs w:val="18"/>
              </w:rPr>
              <w:t>（15分）</w:t>
            </w:r>
          </w:p>
        </w:tc>
        <w:tc>
          <w:tcPr>
            <w:tcW w:w="580"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资金到位 情况</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xml:space="preserve">资金到位率=（实际到位资金/预算资金）×100%。        </w:t>
            </w:r>
          </w:p>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公式中的实际到位资金为项目期内落实到具体项目的资金；预算资金为项目期内预算安排到具体项目的资金。</w:t>
            </w:r>
          </w:p>
        </w:tc>
        <w:tc>
          <w:tcPr>
            <w:tcW w:w="291"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5</w:t>
            </w:r>
          </w:p>
        </w:tc>
        <w:tc>
          <w:tcPr>
            <w:tcW w:w="435"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预算执行 情况</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预算执行率=（实际支出资金/实际到位资金）×100%。</w:t>
            </w:r>
            <w:r>
              <w:rPr>
                <w:rFonts w:hint="eastAsia" w:cs="宋体" w:asciiTheme="minorEastAsia" w:hAnsiTheme="minorEastAsia" w:eastAsiaTheme="minorEastAsia"/>
                <w:color w:val="000000"/>
                <w:kern w:val="0"/>
                <w:sz w:val="20"/>
                <w:szCs w:val="20"/>
              </w:rPr>
              <w:br w:type="textWrapping"/>
            </w:r>
            <w:r>
              <w:rPr>
                <w:rFonts w:hint="eastAsia" w:cs="宋体" w:asciiTheme="minorEastAsia" w:hAnsiTheme="minorEastAsia" w:eastAsiaTheme="minorEastAsia"/>
                <w:color w:val="000000"/>
                <w:kern w:val="0"/>
                <w:sz w:val="20"/>
                <w:szCs w:val="20"/>
              </w:rPr>
              <w:t>公式中的实际支出资金为项目期内项目实际支出的资金；实际到位资金为项目期内落实到具体项目的资金。</w:t>
            </w:r>
          </w:p>
        </w:tc>
        <w:tc>
          <w:tcPr>
            <w:tcW w:w="291"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5</w:t>
            </w:r>
          </w:p>
        </w:tc>
        <w:tc>
          <w:tcPr>
            <w:tcW w:w="435"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资金使用合规性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①是否符合国家财经法规和财务管理制度以及有关专项资金管理办法的规定；</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5</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②资金的拨付是否有完整的审批程序和手续；</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③是否符合项目预算批复或合同规定的用途；</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④是否存在截留、挤占、挪用、虚列支出等情况。</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组织</w:t>
            </w:r>
          </w:p>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实施</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18"/>
                <w:szCs w:val="18"/>
              </w:rPr>
              <w:t>（10分）</w:t>
            </w: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管理制度</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健全性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①是否具有健全的内控制度；</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5</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②是否已制定或具有相应的财务和业务管理制度；</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③财务和业务管理制度是否合法、合规、完整。</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制度执行</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有效性</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①是否遵守相关法律法规和相关管理规定；</w:t>
            </w:r>
          </w:p>
        </w:tc>
        <w:tc>
          <w:tcPr>
            <w:tcW w:w="29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5</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②项目调整及支出调整手续是否完备；</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③项目合同书、验收报告、技术鉴定等资料是否齐全并及时归档；</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④项目实施的人员、场地设备、信息支撑等是否落实到位。</w:t>
            </w:r>
          </w:p>
        </w:tc>
        <w:tc>
          <w:tcPr>
            <w:tcW w:w="29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49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 xml:space="preserve">产出  </w:t>
            </w:r>
            <w:r>
              <w:rPr>
                <w:rFonts w:hint="eastAsia" w:cs="宋体" w:asciiTheme="minorEastAsia" w:hAnsiTheme="minorEastAsia" w:eastAsiaTheme="minorEastAsia"/>
                <w:color w:val="000000"/>
                <w:kern w:val="0"/>
                <w:sz w:val="18"/>
                <w:szCs w:val="18"/>
              </w:rPr>
              <w:t>（40分）</w:t>
            </w:r>
          </w:p>
        </w:tc>
        <w:tc>
          <w:tcPr>
            <w:tcW w:w="511"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产出</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 xml:space="preserve">数量   </w:t>
            </w:r>
            <w:r>
              <w:rPr>
                <w:rFonts w:hint="eastAsia" w:cs="宋体" w:asciiTheme="minorEastAsia" w:hAnsiTheme="minorEastAsia" w:eastAsiaTheme="minorEastAsia"/>
                <w:color w:val="000000"/>
                <w:kern w:val="0"/>
                <w:sz w:val="18"/>
                <w:szCs w:val="18"/>
              </w:rPr>
              <w:t>（10分）</w:t>
            </w:r>
          </w:p>
        </w:tc>
        <w:tc>
          <w:tcPr>
            <w:tcW w:w="580"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实际完成</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情况</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实际完成率=（实际产出数/计划产出数）×100%。</w:t>
            </w:r>
            <w:r>
              <w:rPr>
                <w:rFonts w:hint="eastAsia" w:cs="宋体" w:asciiTheme="minorEastAsia" w:hAnsiTheme="minorEastAsia" w:eastAsiaTheme="minorEastAsia"/>
                <w:color w:val="000000"/>
                <w:kern w:val="0"/>
                <w:sz w:val="20"/>
                <w:szCs w:val="20"/>
              </w:rPr>
              <w:br w:type="textWrapping"/>
            </w:r>
            <w:r>
              <w:rPr>
                <w:rFonts w:hint="eastAsia" w:cs="宋体" w:asciiTheme="minorEastAsia" w:hAnsiTheme="minorEastAsia" w:eastAsiaTheme="minorEastAsia"/>
                <w:color w:val="000000"/>
                <w:kern w:val="0"/>
                <w:sz w:val="20"/>
                <w:szCs w:val="20"/>
              </w:rPr>
              <w:t>公式中的实际产出数为项目期内项目实际产出的产品或提供的服务数量；计划产出数为项目绩效目标确定的在项目期内计划产出的产品或提供的服务数量。</w:t>
            </w:r>
          </w:p>
        </w:tc>
        <w:tc>
          <w:tcPr>
            <w:tcW w:w="291" w:type="pct"/>
            <w:shd w:val="clear" w:color="auto" w:fill="auto"/>
            <w:noWrap/>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10</w:t>
            </w:r>
          </w:p>
        </w:tc>
        <w:tc>
          <w:tcPr>
            <w:tcW w:w="435" w:type="pct"/>
            <w:shd w:val="clear" w:color="auto" w:fill="auto"/>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9"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产出</w:t>
            </w:r>
          </w:p>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 xml:space="preserve">质量 </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18"/>
                <w:szCs w:val="18"/>
              </w:rPr>
              <w:t>（10分）</w:t>
            </w:r>
          </w:p>
        </w:tc>
        <w:tc>
          <w:tcPr>
            <w:tcW w:w="580"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质量达标</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情况</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质量达标率=（质量达标产出数/实际产出数）×100%。</w:t>
            </w:r>
            <w:r>
              <w:rPr>
                <w:rFonts w:hint="eastAsia" w:cs="宋体" w:asciiTheme="minorEastAsia" w:hAnsiTheme="minorEastAsia" w:eastAsiaTheme="minorEastAsia"/>
                <w:color w:val="000000"/>
                <w:kern w:val="0"/>
                <w:sz w:val="20"/>
                <w:szCs w:val="20"/>
              </w:rPr>
              <w:br w:type="textWrapping"/>
            </w:r>
            <w:r>
              <w:rPr>
                <w:rFonts w:hint="eastAsia" w:cs="宋体" w:asciiTheme="minorEastAsia" w:hAnsiTheme="minorEastAsia" w:eastAsiaTheme="minorEastAsia"/>
                <w:color w:val="000000"/>
                <w:kern w:val="0"/>
                <w:sz w:val="20"/>
                <w:szCs w:val="20"/>
              </w:rPr>
              <w:t>公式中的质量达标产出数为项目期内实际达到既定质量标准的产品或服务数量；既定质量标准是指项目实施单位设立绩效目标时依据计划标准、行业标准、历史标准或其他标准而设定的绩效指标值。</w:t>
            </w:r>
          </w:p>
        </w:tc>
        <w:tc>
          <w:tcPr>
            <w:tcW w:w="291" w:type="pct"/>
            <w:shd w:val="clear" w:color="auto" w:fill="auto"/>
            <w:noWrap/>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10</w:t>
            </w:r>
          </w:p>
        </w:tc>
        <w:tc>
          <w:tcPr>
            <w:tcW w:w="435" w:type="pct"/>
            <w:shd w:val="clear" w:color="auto" w:fill="auto"/>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产出</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 xml:space="preserve">时效  </w:t>
            </w:r>
            <w:r>
              <w:rPr>
                <w:rFonts w:hint="eastAsia" w:cs="宋体" w:asciiTheme="minorEastAsia" w:hAnsiTheme="minorEastAsia" w:eastAsiaTheme="minorEastAsia"/>
                <w:color w:val="000000"/>
                <w:kern w:val="0"/>
                <w:sz w:val="18"/>
                <w:szCs w:val="18"/>
              </w:rPr>
              <w:t>（10分）</w:t>
            </w:r>
          </w:p>
        </w:tc>
        <w:tc>
          <w:tcPr>
            <w:tcW w:w="580"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完成及时</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情况</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项目实施单位完成该项目实际所耗用的时间与设立绩效目标时设定的进度指标值是否相符。</w:t>
            </w:r>
          </w:p>
        </w:tc>
        <w:tc>
          <w:tcPr>
            <w:tcW w:w="291" w:type="pct"/>
            <w:shd w:val="clear" w:color="auto" w:fill="auto"/>
            <w:noWrap/>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10</w:t>
            </w:r>
          </w:p>
        </w:tc>
        <w:tc>
          <w:tcPr>
            <w:tcW w:w="435"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产出</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 xml:space="preserve">成本   </w:t>
            </w:r>
            <w:r>
              <w:rPr>
                <w:rFonts w:hint="eastAsia" w:cs="宋体" w:asciiTheme="minorEastAsia" w:hAnsiTheme="minorEastAsia" w:eastAsiaTheme="minorEastAsia"/>
                <w:color w:val="000000"/>
                <w:kern w:val="0"/>
                <w:sz w:val="18"/>
                <w:szCs w:val="18"/>
              </w:rPr>
              <w:t>（10分）</w:t>
            </w:r>
          </w:p>
        </w:tc>
        <w:tc>
          <w:tcPr>
            <w:tcW w:w="580"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成本节约</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情况</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成本节约率=[（计划成本-实际成本）/计划成本]×100%。</w:t>
            </w:r>
            <w:r>
              <w:rPr>
                <w:rFonts w:hint="eastAsia" w:cs="宋体" w:asciiTheme="minorEastAsia" w:hAnsiTheme="minorEastAsia" w:eastAsiaTheme="minorEastAsia"/>
                <w:color w:val="000000"/>
                <w:kern w:val="0"/>
                <w:sz w:val="20"/>
                <w:szCs w:val="20"/>
              </w:rPr>
              <w:br w:type="textWrapping"/>
            </w:r>
            <w:r>
              <w:rPr>
                <w:rFonts w:hint="eastAsia" w:cs="宋体" w:asciiTheme="minorEastAsia" w:hAnsiTheme="minorEastAsia" w:eastAsiaTheme="minorEastAsia"/>
                <w:color w:val="000000"/>
                <w:kern w:val="0"/>
                <w:sz w:val="20"/>
                <w:szCs w:val="20"/>
              </w:rPr>
              <w:t>公示中的实际成本是指项目实施单位如期、保质、保量完成既定工作目标实际所耗费的支出；计划成本是指项目实施单位为完成工作目标计划安排的支出，一般以财政批复的项目预算为准。</w:t>
            </w:r>
          </w:p>
        </w:tc>
        <w:tc>
          <w:tcPr>
            <w:tcW w:w="291" w:type="pct"/>
            <w:shd w:val="clear" w:color="auto" w:fill="auto"/>
            <w:noWrap/>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10</w:t>
            </w:r>
          </w:p>
        </w:tc>
        <w:tc>
          <w:tcPr>
            <w:tcW w:w="435"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9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 xml:space="preserve">效益   </w:t>
            </w:r>
            <w:r>
              <w:rPr>
                <w:rFonts w:hint="eastAsia" w:cs="宋体" w:asciiTheme="minorEastAsia" w:hAnsiTheme="minorEastAsia" w:eastAsiaTheme="minorEastAsia"/>
                <w:color w:val="000000"/>
                <w:kern w:val="0"/>
                <w:sz w:val="18"/>
                <w:szCs w:val="18"/>
              </w:rPr>
              <w:t>（20分）</w:t>
            </w:r>
          </w:p>
        </w:tc>
        <w:tc>
          <w:tcPr>
            <w:tcW w:w="511"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项目</w:t>
            </w:r>
          </w:p>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 xml:space="preserve">效益  </w:t>
            </w:r>
            <w:r>
              <w:rPr>
                <w:rFonts w:hint="eastAsia" w:cs="宋体" w:asciiTheme="minorEastAsia" w:hAnsiTheme="minorEastAsia" w:eastAsiaTheme="minorEastAsia"/>
                <w:color w:val="000000"/>
                <w:kern w:val="0"/>
                <w:sz w:val="18"/>
                <w:szCs w:val="18"/>
              </w:rPr>
              <w:t>（15分）</w:t>
            </w:r>
          </w:p>
        </w:tc>
        <w:tc>
          <w:tcPr>
            <w:tcW w:w="580"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社会效益</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①节目制作是否真实记录了国家监察体制改革工作在北京地区的实践进程</w:t>
            </w:r>
          </w:p>
        </w:tc>
        <w:tc>
          <w:tcPr>
            <w:tcW w:w="291" w:type="pct"/>
            <w:vMerge w:val="restart"/>
            <w:shd w:val="clear" w:color="auto" w:fill="auto"/>
            <w:noWrap/>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15</w:t>
            </w:r>
          </w:p>
        </w:tc>
        <w:tc>
          <w:tcPr>
            <w:tcW w:w="435" w:type="pct"/>
            <w:vMerge w:val="restar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②节目制作是否深入挖掘廉政文化内涵，使之成为新形势下纪检监察工作的重要资源</w:t>
            </w:r>
          </w:p>
        </w:tc>
        <w:tc>
          <w:tcPr>
            <w:tcW w:w="291" w:type="pct"/>
            <w:vMerge w:val="continue"/>
            <w:shd w:val="clear" w:color="auto" w:fill="auto"/>
            <w:noWrap/>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③节目制作和播出是否有利于提升社会对纪检监察工作的认识度</w:t>
            </w:r>
          </w:p>
        </w:tc>
        <w:tc>
          <w:tcPr>
            <w:tcW w:w="291" w:type="pct"/>
            <w:vMerge w:val="continue"/>
            <w:shd w:val="clear" w:color="auto" w:fill="auto"/>
            <w:noWrap/>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80"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kern w:val="0"/>
                <w:sz w:val="20"/>
                <w:szCs w:val="20"/>
              </w:rPr>
            </w:pPr>
            <w:r>
              <w:rPr>
                <w:rFonts w:hint="eastAsia" w:cs="宋体" w:asciiTheme="minorEastAsia" w:hAnsiTheme="minorEastAsia" w:eastAsiaTheme="minorEastAsia"/>
                <w:color w:val="000000"/>
                <w:kern w:val="0"/>
                <w:sz w:val="20"/>
                <w:szCs w:val="20"/>
              </w:rPr>
              <w:t>④节目制作和播出是否有利于强化纪律教育和廉政教育</w:t>
            </w:r>
          </w:p>
        </w:tc>
        <w:tc>
          <w:tcPr>
            <w:tcW w:w="291" w:type="pct"/>
            <w:vMerge w:val="continue"/>
            <w:shd w:val="clear" w:color="auto" w:fill="auto"/>
            <w:noWrap/>
            <w:vAlign w:val="center"/>
          </w:tcPr>
          <w:p>
            <w:pPr>
              <w:widowControl/>
              <w:spacing w:line="240" w:lineRule="atLeast"/>
              <w:jc w:val="center"/>
              <w:rPr>
                <w:rFonts w:cs="宋体" w:asciiTheme="minorEastAsia" w:hAnsiTheme="minorEastAsia" w:eastAsiaTheme="minorEastAsia"/>
                <w:color w:val="000000"/>
                <w:sz w:val="20"/>
                <w:szCs w:val="20"/>
              </w:rPr>
            </w:pPr>
          </w:p>
        </w:tc>
        <w:tc>
          <w:tcPr>
            <w:tcW w:w="43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495" w:type="pct"/>
            <w:vMerge w:val="continue"/>
            <w:shd w:val="clear" w:color="auto" w:fill="FFFFFF"/>
            <w:vAlign w:val="center"/>
          </w:tcPr>
          <w:p>
            <w:pPr>
              <w:widowControl/>
              <w:spacing w:line="240" w:lineRule="atLeast"/>
              <w:jc w:val="center"/>
              <w:rPr>
                <w:rFonts w:cs="宋体" w:asciiTheme="minorEastAsia" w:hAnsiTheme="minorEastAsia" w:eastAsiaTheme="minorEastAsia"/>
                <w:color w:val="000000"/>
                <w:sz w:val="20"/>
                <w:szCs w:val="20"/>
              </w:rPr>
            </w:pPr>
          </w:p>
        </w:tc>
        <w:tc>
          <w:tcPr>
            <w:tcW w:w="511"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满意度   （5分）</w:t>
            </w:r>
          </w:p>
        </w:tc>
        <w:tc>
          <w:tcPr>
            <w:tcW w:w="580"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服务对象满意度</w:t>
            </w:r>
          </w:p>
        </w:tc>
        <w:tc>
          <w:tcPr>
            <w:tcW w:w="2688" w:type="pct"/>
            <w:shd w:val="clear" w:color="auto" w:fill="FFFFFF"/>
            <w:vAlign w:val="center"/>
          </w:tcPr>
          <w:p>
            <w:pPr>
              <w:widowControl/>
              <w:spacing w:line="240" w:lineRule="atLeast"/>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sz w:val="20"/>
                <w:szCs w:val="20"/>
              </w:rPr>
              <w:t>社会公众、上级部门及相关部门对项目实施的满意度</w:t>
            </w:r>
          </w:p>
        </w:tc>
        <w:tc>
          <w:tcPr>
            <w:tcW w:w="291" w:type="pct"/>
            <w:shd w:val="clear" w:color="auto" w:fill="auto"/>
            <w:noWrap/>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5</w:t>
            </w:r>
          </w:p>
        </w:tc>
        <w:tc>
          <w:tcPr>
            <w:tcW w:w="435" w:type="pct"/>
            <w:shd w:val="clear" w:color="auto" w:fill="FFFFFF"/>
            <w:vAlign w:val="center"/>
          </w:tcPr>
          <w:p>
            <w:pPr>
              <w:widowControl/>
              <w:spacing w:line="240" w:lineRule="atLeast"/>
              <w:jc w:val="center"/>
              <w:textAlignment w:val="center"/>
              <w:rPr>
                <w:rFonts w:cs="宋体" w:asciiTheme="minorEastAsia" w:hAnsiTheme="minorEastAsia" w:eastAsiaTheme="minorEastAsia"/>
                <w:color w:val="000000"/>
                <w:sz w:val="20"/>
                <w:szCs w:val="20"/>
              </w:rPr>
            </w:pPr>
            <w:r>
              <w:rPr>
                <w:rFonts w:hint="eastAsia" w:cs="宋体" w:asciiTheme="minorEastAsia" w:hAnsiTheme="minorEastAsia" w:eastAsiaTheme="minorEastAsia"/>
                <w:color w:val="000000"/>
                <w:kern w:val="0"/>
                <w:sz w:val="20"/>
                <w:szCs w:val="20"/>
              </w:rPr>
              <w:t>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4274" w:type="pct"/>
            <w:gridSpan w:val="4"/>
            <w:shd w:val="clear" w:color="auto" w:fill="FFFFFF"/>
            <w:vAlign w:val="center"/>
          </w:tcPr>
          <w:p>
            <w:pPr>
              <w:widowControl/>
              <w:spacing w:line="240" w:lineRule="atLeast"/>
              <w:textAlignment w:val="center"/>
              <w:rPr>
                <w:rFonts w:cs="宋体" w:asciiTheme="minorEastAsia" w:hAnsiTheme="minorEastAsia" w:eastAsiaTheme="minorEastAsia"/>
                <w:b/>
                <w:color w:val="000000"/>
                <w:kern w:val="0"/>
                <w:sz w:val="20"/>
                <w:szCs w:val="20"/>
              </w:rPr>
            </w:pPr>
            <w:r>
              <w:rPr>
                <w:rFonts w:hint="eastAsia" w:cs="宋体" w:asciiTheme="minorEastAsia" w:hAnsiTheme="minorEastAsia" w:eastAsiaTheme="minorEastAsia"/>
                <w:b/>
                <w:color w:val="000000"/>
                <w:kern w:val="0"/>
                <w:sz w:val="20"/>
                <w:szCs w:val="20"/>
              </w:rPr>
              <w:t>合计</w:t>
            </w:r>
          </w:p>
        </w:tc>
        <w:tc>
          <w:tcPr>
            <w:tcW w:w="291" w:type="pct"/>
            <w:shd w:val="clear" w:color="auto" w:fill="auto"/>
            <w:noWrap/>
            <w:vAlign w:val="center"/>
          </w:tcPr>
          <w:p>
            <w:pPr>
              <w:widowControl/>
              <w:spacing w:line="240" w:lineRule="atLeast"/>
              <w:jc w:val="center"/>
              <w:textAlignment w:val="center"/>
              <w:rPr>
                <w:rFonts w:cs="宋体" w:asciiTheme="minorEastAsia" w:hAnsiTheme="minorEastAsia" w:eastAsiaTheme="minorEastAsia"/>
                <w:b/>
                <w:color w:val="000000"/>
                <w:kern w:val="0"/>
                <w:sz w:val="20"/>
                <w:szCs w:val="20"/>
              </w:rPr>
            </w:pPr>
            <w:r>
              <w:rPr>
                <w:rFonts w:hint="eastAsia" w:cs="宋体" w:asciiTheme="minorEastAsia" w:hAnsiTheme="minorEastAsia" w:eastAsiaTheme="minorEastAsia"/>
                <w:b/>
                <w:color w:val="000000"/>
                <w:kern w:val="0"/>
                <w:sz w:val="20"/>
                <w:szCs w:val="20"/>
              </w:rPr>
              <w:t>100</w:t>
            </w:r>
          </w:p>
        </w:tc>
        <w:tc>
          <w:tcPr>
            <w:tcW w:w="435" w:type="pct"/>
            <w:shd w:val="clear" w:color="auto" w:fill="FFFFFF"/>
            <w:vAlign w:val="center"/>
          </w:tcPr>
          <w:p>
            <w:pPr>
              <w:widowControl/>
              <w:spacing w:line="240" w:lineRule="atLeast"/>
              <w:jc w:val="center"/>
              <w:textAlignment w:val="center"/>
              <w:rPr>
                <w:rFonts w:cs="宋体" w:asciiTheme="minorEastAsia" w:hAnsiTheme="minorEastAsia" w:eastAsiaTheme="minorEastAsia"/>
                <w:b/>
                <w:color w:val="000000"/>
                <w:kern w:val="0"/>
                <w:sz w:val="20"/>
                <w:szCs w:val="20"/>
              </w:rPr>
            </w:pPr>
            <w:r>
              <w:rPr>
                <w:rFonts w:hint="eastAsia" w:cs="宋体" w:asciiTheme="minorEastAsia" w:hAnsiTheme="minorEastAsia" w:eastAsiaTheme="minorEastAsia"/>
                <w:b/>
                <w:color w:val="000000"/>
                <w:kern w:val="0"/>
                <w:sz w:val="20"/>
                <w:szCs w:val="20"/>
              </w:rPr>
              <w:t>90.2</w:t>
            </w:r>
          </w:p>
        </w:tc>
      </w:tr>
    </w:tbl>
    <w:p>
      <w:pPr>
        <w:widowControl/>
        <w:jc w:val="left"/>
        <w:rPr>
          <w:rFonts w:ascii="仿宋_GB2312" w:hAnsi="黑体" w:eastAsia="仿宋_GB2312" w:cs="仿宋_GB2312"/>
          <w:sz w:val="30"/>
          <w:szCs w:val="30"/>
        </w:rPr>
      </w:pPr>
    </w:p>
    <w:sectPr>
      <w:footerReference r:id="rId3" w:type="default"/>
      <w:pgSz w:w="11906" w:h="16838"/>
      <w:pgMar w:top="1440" w:right="1289" w:bottom="1440" w:left="1397" w:header="851" w:footer="992" w:gutter="0"/>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0000019F" w:csb1="00000000"/>
  </w:font>
  <w:font w:name="Tahoma">
    <w:altName w:val="DejaVu Sans"/>
    <w:panose1 w:val="020B0604030504040204"/>
    <w:charset w:val="00"/>
    <w:family w:val="swiss"/>
    <w:pitch w:val="default"/>
    <w:sig w:usb0="00000000" w:usb1="00000000" w:usb2="00000029" w:usb3="00000000" w:csb0="000101FF" w:csb1="00000000"/>
  </w:font>
  <w:font w:name="微软雅黑">
    <w:altName w:val="黑体"/>
    <w:panose1 w:val="020B0503020204020204"/>
    <w:charset w:val="86"/>
    <w:family w:val="swiss"/>
    <w:pitch w:val="default"/>
    <w:sig w:usb0="00000000" w:usb1="00000000" w:usb2="00000016" w:usb3="00000000" w:csb0="0004001F" w:csb1="00000000"/>
  </w:font>
  <w:font w:name="Calibri Light">
    <w:altName w:val="DejaVu Sans"/>
    <w:panose1 w:val="020F0302020204030204"/>
    <w:charset w:val="00"/>
    <w:family w:val="swiss"/>
    <w:pitch w:val="default"/>
    <w:sig w:usb0="00000000" w:usb1="00000000" w:usb2="00000009" w:usb3="00000000" w:csb0="000001FF" w:csb1="00000000"/>
  </w:font>
  <w:font w:name="Verdana">
    <w:altName w:val="Ubuntu"/>
    <w:panose1 w:val="020B0604030504040204"/>
    <w:charset w:val="00"/>
    <w:family w:val="swiss"/>
    <w:pitch w:val="default"/>
    <w:sig w:usb0="00000000" w:usb1="00000000" w:usb2="00000010" w:usb3="00000000" w:csb0="0000019F" w:csb1="00000000"/>
  </w:font>
  <w:font w:name="仿宋_GB2312">
    <w:panose1 w:val="02010609030101010101"/>
    <w:charset w:val="86"/>
    <w:family w:val="modern"/>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FreeSerif">
    <w:panose1 w:val="02020603050405020304"/>
    <w:charset w:val="00"/>
    <w:family w:val="auto"/>
    <w:pitch w:val="default"/>
    <w:sig w:usb0="E59FAFFF" w:usb1="C200FDFF" w:usb2="43501B29" w:usb3="04000043" w:csb0="600101FF" w:csb1="FFFF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pict>
        <v:shape id="Text Box 1" o:spid="_x0000_s4097" o:spt="202" type="#_x0000_t202" style="position:absolute;left:0pt;margin-top:0pt;height:11pt;width:4.6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">
          <v:path/>
          <v:fill on="f" focussize="0,0"/>
          <v:stroke on="f" joinstyle="miter"/>
          <v:imagedata o:title=""/>
          <o:lock v:ext="edit"/>
          <v:textbox inset="0mm,0mm,0mm,0mm" style="mso-fit-shape-to-text:t;">
            <w:txbxContent>
              <w:p>
                <w:pPr>
                  <w:pStyle w:val="9"/>
                </w:pPr>
                <w:r>
                  <w:fldChar w:fldCharType="begin"/>
                </w:r>
                <w:r>
                  <w:instrText xml:space="preserve"> PAGE  \* MERGEFORMAT </w:instrText>
                </w:r>
                <w:r>
                  <w:fldChar w:fldCharType="separate"/>
                </w:r>
                <w:r>
                  <w:t>12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E7025"/>
    <w:rsid w:val="00003492"/>
    <w:rsid w:val="00007E1F"/>
    <w:rsid w:val="000161DC"/>
    <w:rsid w:val="0002644F"/>
    <w:rsid w:val="0003381F"/>
    <w:rsid w:val="00033B55"/>
    <w:rsid w:val="000341C6"/>
    <w:rsid w:val="00036A4B"/>
    <w:rsid w:val="0003735D"/>
    <w:rsid w:val="00043070"/>
    <w:rsid w:val="00043158"/>
    <w:rsid w:val="00046FB5"/>
    <w:rsid w:val="00051139"/>
    <w:rsid w:val="0005460B"/>
    <w:rsid w:val="0006600D"/>
    <w:rsid w:val="00071A8A"/>
    <w:rsid w:val="00086A8A"/>
    <w:rsid w:val="0009482E"/>
    <w:rsid w:val="000A68B6"/>
    <w:rsid w:val="000C364E"/>
    <w:rsid w:val="000F0487"/>
    <w:rsid w:val="000F23FC"/>
    <w:rsid w:val="00104F1A"/>
    <w:rsid w:val="001264FE"/>
    <w:rsid w:val="001307B5"/>
    <w:rsid w:val="00154C38"/>
    <w:rsid w:val="001572AF"/>
    <w:rsid w:val="00171DEB"/>
    <w:rsid w:val="00173500"/>
    <w:rsid w:val="00173791"/>
    <w:rsid w:val="00176664"/>
    <w:rsid w:val="001852D3"/>
    <w:rsid w:val="0019179B"/>
    <w:rsid w:val="001B1C55"/>
    <w:rsid w:val="001B20F3"/>
    <w:rsid w:val="001C0228"/>
    <w:rsid w:val="001C1C44"/>
    <w:rsid w:val="001C382B"/>
    <w:rsid w:val="001C4C86"/>
    <w:rsid w:val="001D24A5"/>
    <w:rsid w:val="001E5A71"/>
    <w:rsid w:val="00204198"/>
    <w:rsid w:val="00205F09"/>
    <w:rsid w:val="00216A2D"/>
    <w:rsid w:val="002171D6"/>
    <w:rsid w:val="002237A7"/>
    <w:rsid w:val="00262243"/>
    <w:rsid w:val="00273809"/>
    <w:rsid w:val="0027751A"/>
    <w:rsid w:val="00277F3E"/>
    <w:rsid w:val="00293B60"/>
    <w:rsid w:val="002A01C5"/>
    <w:rsid w:val="002B7922"/>
    <w:rsid w:val="002C039A"/>
    <w:rsid w:val="002C3380"/>
    <w:rsid w:val="002C5B10"/>
    <w:rsid w:val="002C6EE6"/>
    <w:rsid w:val="002D703D"/>
    <w:rsid w:val="002E3277"/>
    <w:rsid w:val="002E33CA"/>
    <w:rsid w:val="002E7C73"/>
    <w:rsid w:val="002F169E"/>
    <w:rsid w:val="002F227D"/>
    <w:rsid w:val="002F5EB8"/>
    <w:rsid w:val="00321E2C"/>
    <w:rsid w:val="00333A3E"/>
    <w:rsid w:val="003379FA"/>
    <w:rsid w:val="00344078"/>
    <w:rsid w:val="00362994"/>
    <w:rsid w:val="00390E45"/>
    <w:rsid w:val="00393213"/>
    <w:rsid w:val="003A26E1"/>
    <w:rsid w:val="003A5358"/>
    <w:rsid w:val="003B5488"/>
    <w:rsid w:val="003C06F8"/>
    <w:rsid w:val="003E2BC6"/>
    <w:rsid w:val="00403A02"/>
    <w:rsid w:val="00413570"/>
    <w:rsid w:val="00422370"/>
    <w:rsid w:val="004302A1"/>
    <w:rsid w:val="00433080"/>
    <w:rsid w:val="0043708A"/>
    <w:rsid w:val="004417C8"/>
    <w:rsid w:val="00441FEA"/>
    <w:rsid w:val="004568AA"/>
    <w:rsid w:val="00460C77"/>
    <w:rsid w:val="004657FE"/>
    <w:rsid w:val="00480E2E"/>
    <w:rsid w:val="004870D5"/>
    <w:rsid w:val="004A5473"/>
    <w:rsid w:val="004B2133"/>
    <w:rsid w:val="004B4C16"/>
    <w:rsid w:val="004C093A"/>
    <w:rsid w:val="004C3B86"/>
    <w:rsid w:val="004F2CF8"/>
    <w:rsid w:val="00512B08"/>
    <w:rsid w:val="00514390"/>
    <w:rsid w:val="005215F8"/>
    <w:rsid w:val="00527594"/>
    <w:rsid w:val="00537846"/>
    <w:rsid w:val="00583888"/>
    <w:rsid w:val="005A0607"/>
    <w:rsid w:val="005A0D0F"/>
    <w:rsid w:val="005A1FCC"/>
    <w:rsid w:val="005A7167"/>
    <w:rsid w:val="005B0398"/>
    <w:rsid w:val="005B6C0D"/>
    <w:rsid w:val="005B6F20"/>
    <w:rsid w:val="005C0F3B"/>
    <w:rsid w:val="005D0331"/>
    <w:rsid w:val="005F49F4"/>
    <w:rsid w:val="00606457"/>
    <w:rsid w:val="006204F0"/>
    <w:rsid w:val="0063220C"/>
    <w:rsid w:val="00642B56"/>
    <w:rsid w:val="00646DE8"/>
    <w:rsid w:val="0065392A"/>
    <w:rsid w:val="006757A2"/>
    <w:rsid w:val="006769BB"/>
    <w:rsid w:val="00684272"/>
    <w:rsid w:val="006929B6"/>
    <w:rsid w:val="006B57B1"/>
    <w:rsid w:val="006D3D83"/>
    <w:rsid w:val="006E1155"/>
    <w:rsid w:val="006E217D"/>
    <w:rsid w:val="006E682A"/>
    <w:rsid w:val="006F6462"/>
    <w:rsid w:val="007224D5"/>
    <w:rsid w:val="0074637C"/>
    <w:rsid w:val="00746CB8"/>
    <w:rsid w:val="00762353"/>
    <w:rsid w:val="00763EE6"/>
    <w:rsid w:val="0077550D"/>
    <w:rsid w:val="0077567F"/>
    <w:rsid w:val="00775841"/>
    <w:rsid w:val="007A3A38"/>
    <w:rsid w:val="007A7944"/>
    <w:rsid w:val="007B1A05"/>
    <w:rsid w:val="007C1620"/>
    <w:rsid w:val="007D401D"/>
    <w:rsid w:val="007E064B"/>
    <w:rsid w:val="007E2B55"/>
    <w:rsid w:val="008009ED"/>
    <w:rsid w:val="00830F8A"/>
    <w:rsid w:val="008319B6"/>
    <w:rsid w:val="0087099E"/>
    <w:rsid w:val="00871C6B"/>
    <w:rsid w:val="008724BC"/>
    <w:rsid w:val="00891090"/>
    <w:rsid w:val="008A239F"/>
    <w:rsid w:val="008A2A77"/>
    <w:rsid w:val="008B7758"/>
    <w:rsid w:val="008E5352"/>
    <w:rsid w:val="008E75A0"/>
    <w:rsid w:val="0090619D"/>
    <w:rsid w:val="00910245"/>
    <w:rsid w:val="00915480"/>
    <w:rsid w:val="009154A9"/>
    <w:rsid w:val="00931B89"/>
    <w:rsid w:val="00962ABD"/>
    <w:rsid w:val="00965614"/>
    <w:rsid w:val="009709DD"/>
    <w:rsid w:val="00974295"/>
    <w:rsid w:val="00977A7A"/>
    <w:rsid w:val="00993EFC"/>
    <w:rsid w:val="009C744A"/>
    <w:rsid w:val="009D05C4"/>
    <w:rsid w:val="009D529B"/>
    <w:rsid w:val="009E00A6"/>
    <w:rsid w:val="009E0EBD"/>
    <w:rsid w:val="009F0A26"/>
    <w:rsid w:val="009F65D1"/>
    <w:rsid w:val="00A23A9A"/>
    <w:rsid w:val="00A344BB"/>
    <w:rsid w:val="00A56B55"/>
    <w:rsid w:val="00A720CF"/>
    <w:rsid w:val="00A810BE"/>
    <w:rsid w:val="00A8290E"/>
    <w:rsid w:val="00AA28CD"/>
    <w:rsid w:val="00AB0885"/>
    <w:rsid w:val="00AB4D5C"/>
    <w:rsid w:val="00AC2FA4"/>
    <w:rsid w:val="00AE2DFB"/>
    <w:rsid w:val="00AE3026"/>
    <w:rsid w:val="00B2034F"/>
    <w:rsid w:val="00B231B0"/>
    <w:rsid w:val="00B40D70"/>
    <w:rsid w:val="00B4229E"/>
    <w:rsid w:val="00B61E2A"/>
    <w:rsid w:val="00B67F43"/>
    <w:rsid w:val="00B83254"/>
    <w:rsid w:val="00B83991"/>
    <w:rsid w:val="00BA04FA"/>
    <w:rsid w:val="00BB3B62"/>
    <w:rsid w:val="00BD5285"/>
    <w:rsid w:val="00BE1A31"/>
    <w:rsid w:val="00BE56D0"/>
    <w:rsid w:val="00C05961"/>
    <w:rsid w:val="00C11804"/>
    <w:rsid w:val="00C14B22"/>
    <w:rsid w:val="00C37DF9"/>
    <w:rsid w:val="00C46F50"/>
    <w:rsid w:val="00C5606F"/>
    <w:rsid w:val="00C7259C"/>
    <w:rsid w:val="00CA5392"/>
    <w:rsid w:val="00CA5485"/>
    <w:rsid w:val="00CA6B44"/>
    <w:rsid w:val="00CA7C1D"/>
    <w:rsid w:val="00CC0FA4"/>
    <w:rsid w:val="00CC1D2C"/>
    <w:rsid w:val="00CC7043"/>
    <w:rsid w:val="00CE078F"/>
    <w:rsid w:val="00CE210D"/>
    <w:rsid w:val="00CE50B7"/>
    <w:rsid w:val="00CE7636"/>
    <w:rsid w:val="00CF5448"/>
    <w:rsid w:val="00CF5BD4"/>
    <w:rsid w:val="00D05C6F"/>
    <w:rsid w:val="00D11AB3"/>
    <w:rsid w:val="00D121BA"/>
    <w:rsid w:val="00D25C96"/>
    <w:rsid w:val="00D37E13"/>
    <w:rsid w:val="00D61F1C"/>
    <w:rsid w:val="00D972A6"/>
    <w:rsid w:val="00DB28F9"/>
    <w:rsid w:val="00DC1247"/>
    <w:rsid w:val="00DC3DF4"/>
    <w:rsid w:val="00DD178A"/>
    <w:rsid w:val="00DD27BC"/>
    <w:rsid w:val="00DE489A"/>
    <w:rsid w:val="00DF695E"/>
    <w:rsid w:val="00E12B2C"/>
    <w:rsid w:val="00E212E2"/>
    <w:rsid w:val="00E42381"/>
    <w:rsid w:val="00E533DE"/>
    <w:rsid w:val="00E66296"/>
    <w:rsid w:val="00E75D0A"/>
    <w:rsid w:val="00E81683"/>
    <w:rsid w:val="00E866C3"/>
    <w:rsid w:val="00E906B2"/>
    <w:rsid w:val="00E93DC6"/>
    <w:rsid w:val="00EA4339"/>
    <w:rsid w:val="00EC06F5"/>
    <w:rsid w:val="00ED179F"/>
    <w:rsid w:val="00ED1BC8"/>
    <w:rsid w:val="00EE3A77"/>
    <w:rsid w:val="00EE448C"/>
    <w:rsid w:val="00EE7025"/>
    <w:rsid w:val="00EE71E7"/>
    <w:rsid w:val="00EE7EDC"/>
    <w:rsid w:val="00EF2311"/>
    <w:rsid w:val="00EF361A"/>
    <w:rsid w:val="00F03FC9"/>
    <w:rsid w:val="00F07303"/>
    <w:rsid w:val="00F36730"/>
    <w:rsid w:val="00F36AA0"/>
    <w:rsid w:val="00F373C7"/>
    <w:rsid w:val="00F447A8"/>
    <w:rsid w:val="00F46482"/>
    <w:rsid w:val="00F52981"/>
    <w:rsid w:val="00F63C4F"/>
    <w:rsid w:val="00F92021"/>
    <w:rsid w:val="00FA287D"/>
    <w:rsid w:val="00FB3386"/>
    <w:rsid w:val="00FC0F5B"/>
    <w:rsid w:val="00FC4DB8"/>
    <w:rsid w:val="00FE5205"/>
    <w:rsid w:val="00FE58B3"/>
    <w:rsid w:val="015878CB"/>
    <w:rsid w:val="50760958"/>
    <w:rsid w:val="5FED28C5"/>
    <w:rsid w:val="63F210F3"/>
    <w:rsid w:val="705F28CD"/>
    <w:rsid w:val="754901AC"/>
    <w:rsid w:val="76BD73C6"/>
    <w:rsid w:val="7DA0307A"/>
    <w:rsid w:val="BBEDB25E"/>
    <w:rsid w:val="DFFF2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9"/>
    <w:qFormat/>
    <w:uiPriority w:val="9"/>
    <w:pPr>
      <w:keepNext/>
      <w:keepLines/>
      <w:spacing w:line="560" w:lineRule="exact"/>
      <w:jc w:val="center"/>
      <w:outlineLvl w:val="0"/>
    </w:pPr>
    <w:rPr>
      <w:rFonts w:eastAsia="方正小标宋简体"/>
      <w:bCs/>
      <w:kern w:val="44"/>
      <w:sz w:val="44"/>
      <w:szCs w:val="44"/>
    </w:rPr>
  </w:style>
  <w:style w:type="paragraph" w:styleId="3">
    <w:name w:val="heading 2"/>
    <w:basedOn w:val="1"/>
    <w:next w:val="1"/>
    <w:link w:val="4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ind w:left="2520" w:leftChars="1200"/>
    </w:pPr>
    <w:rPr>
      <w:rFonts w:asciiTheme="minorHAnsi" w:hAnsiTheme="minorHAnsi" w:eastAsiaTheme="minorEastAsia" w:cstheme="minorBidi"/>
      <w:szCs w:val="22"/>
    </w:rPr>
  </w:style>
  <w:style w:type="paragraph" w:styleId="5">
    <w:name w:val="toc 5"/>
    <w:basedOn w:val="1"/>
    <w:next w:val="1"/>
    <w:unhideWhenUsed/>
    <w:qFormat/>
    <w:uiPriority w:val="39"/>
    <w:pPr>
      <w:ind w:left="1680" w:leftChars="800"/>
    </w:pPr>
    <w:rPr>
      <w:rFonts w:asciiTheme="minorHAnsi" w:hAnsiTheme="minorHAnsi" w:eastAsiaTheme="minorEastAsia" w:cstheme="minorBidi"/>
      <w:szCs w:val="22"/>
    </w:rPr>
  </w:style>
  <w:style w:type="paragraph" w:styleId="6">
    <w:name w:val="toc 3"/>
    <w:basedOn w:val="1"/>
    <w:next w:val="1"/>
    <w:unhideWhenUsed/>
    <w:qFormat/>
    <w:uiPriority w:val="39"/>
    <w:pPr>
      <w:ind w:left="840" w:leftChars="400"/>
    </w:pPr>
  </w:style>
  <w:style w:type="paragraph" w:styleId="7">
    <w:name w:val="toc 8"/>
    <w:basedOn w:val="1"/>
    <w:next w:val="1"/>
    <w:unhideWhenUsed/>
    <w:qFormat/>
    <w:uiPriority w:val="39"/>
    <w:pPr>
      <w:ind w:left="2940" w:leftChars="1400"/>
    </w:pPr>
    <w:rPr>
      <w:rFonts w:asciiTheme="minorHAnsi" w:hAnsiTheme="minorHAnsi" w:eastAsiaTheme="minorEastAsia" w:cstheme="minorBidi"/>
      <w:szCs w:val="22"/>
    </w:rPr>
  </w:style>
  <w:style w:type="paragraph" w:styleId="8">
    <w:name w:val="Balloon Text"/>
    <w:basedOn w:val="1"/>
    <w:link w:val="26"/>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0">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4"/>
    <w:basedOn w:val="1"/>
    <w:next w:val="1"/>
    <w:unhideWhenUsed/>
    <w:qFormat/>
    <w:uiPriority w:val="39"/>
    <w:pPr>
      <w:ind w:left="1260" w:leftChars="600"/>
    </w:pPr>
    <w:rPr>
      <w:rFonts w:asciiTheme="minorHAnsi" w:hAnsiTheme="minorHAnsi" w:eastAsiaTheme="minorEastAsia" w:cstheme="minorBidi"/>
      <w:szCs w:val="22"/>
    </w:rPr>
  </w:style>
  <w:style w:type="paragraph" w:styleId="13">
    <w:name w:val="footnote text"/>
    <w:basedOn w:val="1"/>
    <w:link w:val="28"/>
    <w:unhideWhenUsed/>
    <w:qFormat/>
    <w:uiPriority w:val="99"/>
    <w:pPr>
      <w:widowControl/>
      <w:adjustRightInd w:val="0"/>
      <w:snapToGrid w:val="0"/>
      <w:spacing w:after="200"/>
      <w:jc w:val="left"/>
    </w:pPr>
    <w:rPr>
      <w:rFonts w:ascii="Tahoma" w:hAnsi="Tahoma" w:eastAsia="微软雅黑"/>
      <w:kern w:val="0"/>
      <w:sz w:val="18"/>
      <w:szCs w:val="18"/>
    </w:rPr>
  </w:style>
  <w:style w:type="paragraph" w:styleId="14">
    <w:name w:val="toc 6"/>
    <w:basedOn w:val="1"/>
    <w:next w:val="1"/>
    <w:unhideWhenUsed/>
    <w:qFormat/>
    <w:uiPriority w:val="39"/>
    <w:pPr>
      <w:ind w:left="2100" w:leftChars="1000"/>
    </w:pPr>
    <w:rPr>
      <w:rFonts w:asciiTheme="minorHAnsi" w:hAnsiTheme="minorHAnsi" w:eastAsiaTheme="minorEastAsia" w:cstheme="minorBidi"/>
      <w:szCs w:val="22"/>
    </w:rPr>
  </w:style>
  <w:style w:type="paragraph" w:styleId="15">
    <w:name w:val="toc 2"/>
    <w:basedOn w:val="1"/>
    <w:next w:val="1"/>
    <w:unhideWhenUsed/>
    <w:qFormat/>
    <w:uiPriority w:val="39"/>
    <w:pPr>
      <w:ind w:left="420" w:leftChars="200"/>
    </w:pPr>
  </w:style>
  <w:style w:type="paragraph" w:styleId="16">
    <w:name w:val="toc 9"/>
    <w:basedOn w:val="1"/>
    <w:next w:val="1"/>
    <w:unhideWhenUsed/>
    <w:qFormat/>
    <w:uiPriority w:val="39"/>
    <w:pPr>
      <w:ind w:left="3360" w:leftChars="1600"/>
    </w:pPr>
    <w:rPr>
      <w:rFonts w:asciiTheme="minorHAnsi" w:hAnsiTheme="minorHAnsi" w:eastAsiaTheme="minorEastAsia" w:cstheme="minorBidi"/>
      <w:szCs w:val="22"/>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Title"/>
    <w:basedOn w:val="1"/>
    <w:next w:val="1"/>
    <w:link w:val="24"/>
    <w:qFormat/>
    <w:uiPriority w:val="0"/>
    <w:pPr>
      <w:spacing w:before="240" w:after="60" w:line="312" w:lineRule="auto"/>
      <w:ind w:firstLine="200" w:firstLineChars="200"/>
      <w:jc w:val="center"/>
      <w:outlineLvl w:val="0"/>
    </w:pPr>
    <w:rPr>
      <w:rFonts w:ascii="Calibri Light" w:hAnsi="Calibri Light" w:eastAsiaTheme="minorEastAsia"/>
      <w:b/>
      <w:bCs/>
      <w:sz w:val="32"/>
      <w:szCs w:val="32"/>
    </w:rPr>
  </w:style>
  <w:style w:type="table" w:styleId="20">
    <w:name w:val="Table Grid"/>
    <w:basedOn w:val="1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Hyperlink"/>
    <w:basedOn w:val="21"/>
    <w:unhideWhenUsed/>
    <w:qFormat/>
    <w:uiPriority w:val="99"/>
    <w:rPr>
      <w:color w:val="0000FF" w:themeColor="hyperlink"/>
      <w:u w:val="single"/>
    </w:rPr>
  </w:style>
  <w:style w:type="character" w:customStyle="1" w:styleId="23">
    <w:name w:val="页脚 Char"/>
    <w:basedOn w:val="21"/>
    <w:link w:val="9"/>
    <w:qFormat/>
    <w:uiPriority w:val="99"/>
    <w:rPr>
      <w:sz w:val="18"/>
      <w:szCs w:val="18"/>
    </w:rPr>
  </w:style>
  <w:style w:type="character" w:customStyle="1" w:styleId="24">
    <w:name w:val="标题 Char"/>
    <w:link w:val="18"/>
    <w:qFormat/>
    <w:uiPriority w:val="0"/>
    <w:rPr>
      <w:rFonts w:ascii="Calibri Light" w:hAnsi="Calibri Light" w:cs="Times New Roman"/>
      <w:b/>
      <w:bCs/>
      <w:sz w:val="32"/>
      <w:szCs w:val="32"/>
    </w:rPr>
  </w:style>
  <w:style w:type="character" w:customStyle="1" w:styleId="25">
    <w:name w:val="标题 Char1"/>
    <w:basedOn w:val="21"/>
    <w:qFormat/>
    <w:uiPriority w:val="10"/>
    <w:rPr>
      <w:rFonts w:eastAsia="宋体" w:asciiTheme="majorHAnsi" w:hAnsiTheme="majorHAnsi" w:cstheme="majorBidi"/>
      <w:b/>
      <w:bCs/>
      <w:sz w:val="32"/>
      <w:szCs w:val="32"/>
    </w:rPr>
  </w:style>
  <w:style w:type="character" w:customStyle="1" w:styleId="26">
    <w:name w:val="批注框文本 Char"/>
    <w:basedOn w:val="21"/>
    <w:link w:val="8"/>
    <w:semiHidden/>
    <w:qFormat/>
    <w:uiPriority w:val="99"/>
    <w:rPr>
      <w:rFonts w:ascii="Times New Roman" w:hAnsi="Times New Roman" w:eastAsia="宋体" w:cs="Times New Roman"/>
      <w:sz w:val="18"/>
      <w:szCs w:val="18"/>
    </w:rPr>
  </w:style>
  <w:style w:type="character" w:customStyle="1" w:styleId="27">
    <w:name w:val="页眉 Char"/>
    <w:basedOn w:val="21"/>
    <w:link w:val="10"/>
    <w:qFormat/>
    <w:uiPriority w:val="99"/>
    <w:rPr>
      <w:rFonts w:ascii="Times New Roman" w:hAnsi="Times New Roman" w:eastAsia="宋体" w:cs="Times New Roman"/>
      <w:sz w:val="18"/>
      <w:szCs w:val="18"/>
    </w:rPr>
  </w:style>
  <w:style w:type="character" w:customStyle="1" w:styleId="28">
    <w:name w:val="脚注文本 Char"/>
    <w:basedOn w:val="21"/>
    <w:link w:val="13"/>
    <w:qFormat/>
    <w:uiPriority w:val="99"/>
    <w:rPr>
      <w:rFonts w:ascii="Tahoma" w:hAnsi="Tahoma" w:eastAsia="微软雅黑" w:cs="Times New Roman"/>
      <w:kern w:val="0"/>
      <w:sz w:val="18"/>
      <w:szCs w:val="18"/>
    </w:rPr>
  </w:style>
  <w:style w:type="paragraph" w:customStyle="1" w:styleId="29">
    <w:name w:val="表格"/>
    <w:basedOn w:val="1"/>
    <w:qFormat/>
    <w:uiPriority w:val="0"/>
    <w:pPr>
      <w:autoSpaceDN w:val="0"/>
      <w:jc w:val="center"/>
    </w:pPr>
    <w:rPr>
      <w:rFonts w:ascii="Verdana" w:hAnsi="Verdana" w:eastAsia="仿宋_GB2312"/>
      <w:bCs/>
      <w:sz w:val="24"/>
      <w:szCs w:val="21"/>
      <w:lang w:eastAsia="en-US"/>
    </w:rPr>
  </w:style>
  <w:style w:type="paragraph" w:customStyle="1" w:styleId="30">
    <w:name w:val="列出段落1"/>
    <w:basedOn w:val="1"/>
    <w:next w:val="31"/>
    <w:qFormat/>
    <w:uiPriority w:val="34"/>
    <w:pPr>
      <w:ind w:firstLine="420" w:firstLineChars="200"/>
    </w:pPr>
    <w:rPr>
      <w:rFonts w:ascii="等线" w:hAnsi="等线" w:eastAsia="等线"/>
      <w:szCs w:val="22"/>
    </w:rPr>
  </w:style>
  <w:style w:type="paragraph" w:styleId="31">
    <w:name w:val="List Paragraph"/>
    <w:basedOn w:val="1"/>
    <w:qFormat/>
    <w:uiPriority w:val="34"/>
    <w:pPr>
      <w:ind w:firstLine="420" w:firstLineChars="200"/>
    </w:pPr>
  </w:style>
  <w:style w:type="character" w:customStyle="1" w:styleId="32">
    <w:name w:val="Body text|1_"/>
    <w:basedOn w:val="21"/>
    <w:link w:val="33"/>
    <w:qFormat/>
    <w:uiPriority w:val="0"/>
    <w:rPr>
      <w:rFonts w:ascii="宋体" w:hAnsi="宋体" w:eastAsia="宋体" w:cs="宋体"/>
      <w:sz w:val="30"/>
      <w:szCs w:val="30"/>
      <w:lang w:val="zh-TW" w:eastAsia="zh-TW" w:bidi="zh-TW"/>
    </w:rPr>
  </w:style>
  <w:style w:type="paragraph" w:customStyle="1" w:styleId="33">
    <w:name w:val="Body text|1"/>
    <w:basedOn w:val="1"/>
    <w:link w:val="32"/>
    <w:qFormat/>
    <w:uiPriority w:val="0"/>
    <w:pPr>
      <w:spacing w:line="437" w:lineRule="auto"/>
      <w:ind w:firstLine="400"/>
      <w:jc w:val="left"/>
    </w:pPr>
    <w:rPr>
      <w:rFonts w:ascii="宋体" w:hAnsi="宋体" w:cs="宋体"/>
      <w:sz w:val="30"/>
      <w:szCs w:val="30"/>
      <w:lang w:val="zh-TW" w:eastAsia="zh-TW" w:bidi="zh-TW"/>
    </w:rPr>
  </w:style>
  <w:style w:type="character" w:customStyle="1" w:styleId="34">
    <w:name w:val="Other|1_"/>
    <w:basedOn w:val="21"/>
    <w:link w:val="35"/>
    <w:qFormat/>
    <w:uiPriority w:val="0"/>
    <w:rPr>
      <w:rFonts w:ascii="宋体" w:hAnsi="宋体" w:eastAsia="宋体" w:cs="宋体"/>
      <w:sz w:val="30"/>
      <w:szCs w:val="30"/>
      <w:lang w:val="zh-TW" w:eastAsia="zh-TW" w:bidi="zh-TW"/>
    </w:rPr>
  </w:style>
  <w:style w:type="paragraph" w:customStyle="1" w:styleId="35">
    <w:name w:val="Other|1"/>
    <w:basedOn w:val="1"/>
    <w:link w:val="34"/>
    <w:qFormat/>
    <w:uiPriority w:val="0"/>
    <w:pPr>
      <w:spacing w:line="437" w:lineRule="auto"/>
      <w:ind w:firstLine="400"/>
      <w:jc w:val="left"/>
    </w:pPr>
    <w:rPr>
      <w:rFonts w:ascii="宋体" w:hAnsi="宋体" w:cs="宋体"/>
      <w:sz w:val="30"/>
      <w:szCs w:val="30"/>
      <w:lang w:val="zh-TW" w:eastAsia="zh-TW" w:bidi="zh-TW"/>
    </w:rPr>
  </w:style>
  <w:style w:type="character" w:customStyle="1" w:styleId="36">
    <w:name w:val="Other|2_"/>
    <w:basedOn w:val="21"/>
    <w:link w:val="37"/>
    <w:qFormat/>
    <w:uiPriority w:val="0"/>
    <w:rPr>
      <w:rFonts w:ascii="宋体" w:hAnsi="宋体" w:eastAsia="宋体" w:cs="宋体"/>
      <w:sz w:val="20"/>
      <w:szCs w:val="20"/>
      <w:lang w:val="zh-TW" w:eastAsia="zh-TW" w:bidi="zh-TW"/>
    </w:rPr>
  </w:style>
  <w:style w:type="paragraph" w:customStyle="1" w:styleId="37">
    <w:name w:val="Other|2"/>
    <w:basedOn w:val="1"/>
    <w:link w:val="36"/>
    <w:qFormat/>
    <w:uiPriority w:val="0"/>
    <w:pPr>
      <w:jc w:val="center"/>
    </w:pPr>
    <w:rPr>
      <w:rFonts w:ascii="宋体" w:hAnsi="宋体" w:cs="宋体"/>
      <w:sz w:val="20"/>
      <w:szCs w:val="20"/>
      <w:lang w:val="zh-TW" w:eastAsia="zh-TW" w:bidi="zh-TW"/>
    </w:rPr>
  </w:style>
  <w:style w:type="character" w:customStyle="1" w:styleId="38">
    <w:name w:val="font21"/>
    <w:basedOn w:val="21"/>
    <w:qFormat/>
    <w:uiPriority w:val="0"/>
    <w:rPr>
      <w:rFonts w:hint="eastAsia" w:ascii="宋体" w:hAnsi="宋体" w:eastAsia="宋体" w:cs="宋体"/>
      <w:color w:val="000000"/>
      <w:sz w:val="28"/>
      <w:szCs w:val="28"/>
      <w:u w:val="none"/>
    </w:rPr>
  </w:style>
  <w:style w:type="character" w:customStyle="1" w:styleId="39">
    <w:name w:val="标题 1 Char"/>
    <w:basedOn w:val="21"/>
    <w:link w:val="2"/>
    <w:qFormat/>
    <w:uiPriority w:val="9"/>
    <w:rPr>
      <w:rFonts w:ascii="Times New Roman" w:hAnsi="Times New Roman" w:eastAsia="方正小标宋简体" w:cs="Times New Roman"/>
      <w:bCs/>
      <w:kern w:val="44"/>
      <w:sz w:val="44"/>
      <w:szCs w:val="44"/>
    </w:rPr>
  </w:style>
  <w:style w:type="paragraph" w:customStyle="1" w:styleId="40">
    <w:name w:val="TOC 标题1"/>
    <w:basedOn w:val="2"/>
    <w:next w:val="1"/>
    <w:semiHidden/>
    <w:unhideWhenUsed/>
    <w:qFormat/>
    <w:uiPriority w:val="39"/>
    <w:pPr>
      <w:widowControl/>
      <w:spacing w:before="480" w:line="276" w:lineRule="auto"/>
      <w:jc w:val="left"/>
      <w:outlineLvl w:val="9"/>
    </w:pPr>
    <w:rPr>
      <w:rFonts w:asciiTheme="majorHAnsi" w:hAnsiTheme="majorHAnsi" w:eastAsiaTheme="majorEastAsia" w:cstheme="majorBidi"/>
      <w:b/>
      <w:color w:val="366091" w:themeColor="accent1" w:themeShade="BF"/>
      <w:kern w:val="0"/>
      <w:sz w:val="28"/>
      <w:szCs w:val="28"/>
    </w:rPr>
  </w:style>
  <w:style w:type="character" w:customStyle="1" w:styleId="41">
    <w:name w:val="标题 字符"/>
    <w:qFormat/>
    <w:uiPriority w:val="0"/>
    <w:rPr>
      <w:rFonts w:ascii="Times New Roman" w:hAnsi="Times New Roman" w:eastAsia="黑体" w:cs="Times New Roman"/>
      <w:bCs/>
      <w:sz w:val="24"/>
      <w:szCs w:val="32"/>
    </w:rPr>
  </w:style>
  <w:style w:type="character" w:customStyle="1" w:styleId="42">
    <w:name w:val="标题 2 Char"/>
    <w:basedOn w:val="21"/>
    <w:link w:val="3"/>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1578</Words>
  <Characters>8999</Characters>
  <Lines>74</Lines>
  <Paragraphs>21</Paragraphs>
  <TotalTime>1148</TotalTime>
  <ScaleCrop>false</ScaleCrop>
  <LinksUpToDate>false</LinksUpToDate>
  <CharactersWithSpaces>10556</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2022-05-30T16:55:00Z</dcterms:created>
  <dc:creator>user</dc:creator>
  <cp:lastModifiedBy>liuruilong</cp:lastModifiedBy>
  <cp:lastPrinted>2020-06-11T23:39:00Z</cp:lastPrinted>
  <dcterms:modified xsi:type="dcterms:W3CDTF">2022-08-25T19:18:08Z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y fmtid="{D5CDD505-2E9C-101B-9397-08002B2CF9AE}" pid="3" name="ICV">
    <vt:lpwstr>F47DA03CD45B46B5873FFE505BAE9F1F</vt:lpwstr>
  </property>
</Properties>
</file>